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1FEB" w14:textId="77777777" w:rsidR="003A2854" w:rsidRDefault="003A2854">
      <w:pPr>
        <w:tabs>
          <w:tab w:val="left" w:pos="1820"/>
        </w:tabs>
        <w:rPr>
          <w:rFonts w:ascii="Bahnschrift Light" w:eastAsia="Bahnschrift Light" w:hAnsi="Bahnschrift Light" w:cs="Bahnschrift Light"/>
          <w:sz w:val="18"/>
          <w:szCs w:val="18"/>
        </w:rPr>
      </w:pPr>
      <w:bookmarkStart w:id="0" w:name="_dpt3oqkln1r4" w:colFirst="0" w:colLast="0"/>
      <w:bookmarkEnd w:id="0"/>
    </w:p>
    <w:p w14:paraId="7556393C" w14:textId="77777777" w:rsidR="003A2854" w:rsidRDefault="00000000">
      <w:pPr>
        <w:jc w:val="both"/>
        <w:rPr>
          <w:rFonts w:ascii="Cambria" w:eastAsia="Cambria" w:hAnsi="Cambria" w:cs="Cambria"/>
          <w:sz w:val="32"/>
          <w:szCs w:val="32"/>
        </w:rPr>
      </w:pPr>
      <w:bookmarkStart w:id="1" w:name="_q5s6e8ut02jr" w:colFirst="0" w:colLast="0"/>
      <w:bookmarkEnd w:id="1"/>
      <w:r>
        <w:rPr>
          <w:rFonts w:ascii="Cambria" w:eastAsia="Cambria" w:hAnsi="Cambria" w:cs="Cambria"/>
          <w:b/>
          <w:sz w:val="32"/>
          <w:szCs w:val="32"/>
        </w:rPr>
        <w:t>GOVERNANÇA EM UNIVERSIDADES PÚBLICAS: LACUNAS DA PRODUÇÃO CIENTÍFICA SOBRE LIDERANÇA À LUZ DO TCU.</w:t>
      </w:r>
    </w:p>
    <w:p w14:paraId="07DE9BDA" w14:textId="77777777" w:rsidR="003A2854" w:rsidRPr="0099275A" w:rsidRDefault="00000000">
      <w:pPr>
        <w:keepNext/>
        <w:keepLines/>
        <w:pBdr>
          <w:top w:val="nil"/>
          <w:left w:val="nil"/>
          <w:bottom w:val="nil"/>
          <w:right w:val="nil"/>
          <w:between w:val="nil"/>
        </w:pBdr>
        <w:spacing w:before="120" w:after="240" w:line="240" w:lineRule="auto"/>
        <w:rPr>
          <w:rFonts w:ascii="Cambria" w:eastAsia="Cambria" w:hAnsi="Cambria" w:cs="Cambria"/>
          <w:i/>
          <w:smallCaps/>
          <w:color w:val="BFBFBF" w:themeColor="background1" w:themeShade="BF"/>
          <w:sz w:val="28"/>
          <w:szCs w:val="28"/>
        </w:rPr>
      </w:pPr>
      <w:bookmarkStart w:id="2" w:name="_dg3cts3hk639" w:colFirst="0" w:colLast="0"/>
      <w:bookmarkEnd w:id="2"/>
      <w:r w:rsidRPr="0099275A">
        <w:rPr>
          <w:rFonts w:ascii="Cambria" w:eastAsia="Cambria" w:hAnsi="Cambria" w:cs="Cambria"/>
          <w:i/>
          <w:smallCaps/>
          <w:color w:val="BFBFBF" w:themeColor="background1" w:themeShade="BF"/>
          <w:sz w:val="28"/>
          <w:szCs w:val="28"/>
        </w:rPr>
        <w:t>PUBLIC UNIVERSITY GOVERNANCE: GAPS IN SCIENTIFIC LITERATURA ON LEADERSHIP IN LIGHT OF THE TCU.</w:t>
      </w:r>
    </w:p>
    <w:p w14:paraId="020DA0A3" w14:textId="77777777" w:rsidR="003A2854" w:rsidRDefault="00000000">
      <w:pPr>
        <w:keepNext/>
        <w:keepLines/>
        <w:pBdr>
          <w:top w:val="nil"/>
          <w:left w:val="nil"/>
          <w:bottom w:val="nil"/>
          <w:right w:val="nil"/>
          <w:between w:val="nil"/>
        </w:pBdr>
        <w:spacing w:before="120" w:after="240" w:line="240" w:lineRule="auto"/>
        <w:rPr>
          <w:rFonts w:ascii="Cambria" w:eastAsia="Cambria" w:hAnsi="Cambria" w:cs="Cambria"/>
          <w:i/>
          <w:smallCaps/>
          <w:color w:val="000000"/>
          <w:sz w:val="28"/>
          <w:szCs w:val="28"/>
        </w:rPr>
      </w:pPr>
      <w:r w:rsidRPr="0099275A">
        <w:rPr>
          <w:rFonts w:ascii="Cambria" w:eastAsia="Cambria" w:hAnsi="Cambria" w:cs="Cambria"/>
          <w:i/>
          <w:smallCaps/>
          <w:color w:val="BFBFBF" w:themeColor="background1" w:themeShade="BF"/>
          <w:sz w:val="28"/>
          <w:szCs w:val="28"/>
        </w:rPr>
        <w:t>GOBERNANZA EN UNIVERSIDADES PÚBLICAS: VÁCIOS EN LA PRODUCCIÓN CIENTÍFICA SOBRE LIDERAZGO A LA LUZ DEL TCU</w:t>
      </w:r>
      <w:r>
        <w:rPr>
          <w:rFonts w:ascii="Cambria" w:eastAsia="Cambria" w:hAnsi="Cambria" w:cs="Cambria"/>
          <w:i/>
          <w:smallCaps/>
          <w:color w:val="000000"/>
          <w:sz w:val="28"/>
          <w:szCs w:val="28"/>
        </w:rPr>
        <w:t>.</w:t>
      </w:r>
    </w:p>
    <w:p w14:paraId="5FD847A8" w14:textId="77777777" w:rsidR="003A2854" w:rsidRDefault="003A2854">
      <w:pPr>
        <w:keepNext/>
        <w:keepLines/>
        <w:pBdr>
          <w:top w:val="nil"/>
          <w:left w:val="nil"/>
          <w:bottom w:val="single" w:sz="12" w:space="1" w:color="000000"/>
          <w:right w:val="nil"/>
          <w:between w:val="nil"/>
        </w:pBdr>
        <w:spacing w:before="120" w:after="0" w:line="240" w:lineRule="auto"/>
        <w:rPr>
          <w:smallCaps/>
          <w:color w:val="000000"/>
          <w:sz w:val="28"/>
          <w:szCs w:val="28"/>
        </w:rPr>
      </w:pPr>
    </w:p>
    <w:p w14:paraId="0741EBF4" w14:textId="77777777" w:rsidR="003A2854" w:rsidRDefault="003A2854"/>
    <w:p w14:paraId="139AA263" w14:textId="74F6890D" w:rsidR="00491BF2" w:rsidRDefault="00000000">
      <w:pPr>
        <w:keepNext/>
        <w:keepLines/>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SONIA MARIA MOREIRA DE SOUSA</w:t>
      </w:r>
    </w:p>
    <w:p w14:paraId="070593AF" w14:textId="29E364B1" w:rsidR="003A2854" w:rsidRPr="00491BF2" w:rsidRDefault="00000000">
      <w:pPr>
        <w:keepNext/>
        <w:keepLines/>
        <w:pBdr>
          <w:top w:val="nil"/>
          <w:left w:val="nil"/>
          <w:bottom w:val="nil"/>
          <w:right w:val="nil"/>
          <w:between w:val="nil"/>
        </w:pBdr>
        <w:spacing w:before="120" w:after="120" w:line="240" w:lineRule="auto"/>
        <w:jc w:val="both"/>
        <w:rPr>
          <w:rFonts w:ascii="Times New Roman" w:eastAsia="Times New Roman" w:hAnsi="Times New Roman" w:cs="Times New Roman"/>
          <w:b/>
          <w:color w:val="BFBFBF" w:themeColor="background1" w:themeShade="BF"/>
        </w:rPr>
      </w:pPr>
      <w:r w:rsidRPr="00491BF2">
        <w:rPr>
          <w:rFonts w:ascii="Times New Roman" w:eastAsia="Times New Roman" w:hAnsi="Times New Roman" w:cs="Times New Roman"/>
          <w:b/>
          <w:color w:val="BFBFBF" w:themeColor="background1" w:themeShade="BF"/>
        </w:rPr>
        <w:t xml:space="preserve">Mestranda do </w:t>
      </w:r>
      <w:r w:rsidRPr="00491BF2">
        <w:rPr>
          <w:rFonts w:ascii="Times New Roman" w:eastAsia="Times New Roman" w:hAnsi="Times New Roman" w:cs="Times New Roman"/>
          <w:b/>
          <w:color w:val="BFBFBF" w:themeColor="background1" w:themeShade="BF"/>
          <w:highlight w:val="white"/>
        </w:rPr>
        <w:t>Programa de Mestrado Profissional em Gestão de Políticas Públicas – GESPOL. Universidade Federal do Tocantins (UFT). E-mail: sonia.mm@unitins.br | Orcid.org/0000-0003-2143-8565</w:t>
      </w:r>
    </w:p>
    <w:p w14:paraId="130A517F" w14:textId="77777777" w:rsidR="003A2854" w:rsidRDefault="003A2854">
      <w:pPr>
        <w:keepNext/>
        <w:keepLines/>
        <w:pBdr>
          <w:top w:val="nil"/>
          <w:left w:val="nil"/>
          <w:bottom w:val="nil"/>
          <w:right w:val="nil"/>
          <w:between w:val="nil"/>
        </w:pBdr>
        <w:spacing w:before="120" w:after="120" w:line="240" w:lineRule="auto"/>
        <w:rPr>
          <w:rFonts w:ascii="Times New Roman" w:eastAsia="Times New Roman" w:hAnsi="Times New Roman" w:cs="Times New Roman"/>
          <w:b/>
          <w:highlight w:val="white"/>
        </w:rPr>
      </w:pPr>
    </w:p>
    <w:p w14:paraId="0FF1F45D" w14:textId="0B10650D" w:rsidR="00491BF2" w:rsidRDefault="00000000">
      <w:pPr>
        <w:keepNext/>
        <w:keepLines/>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ALEXANDRE ANTONIO DE OLIVEIRA ANDRAD</w:t>
      </w:r>
      <w:r w:rsidR="00491BF2">
        <w:rPr>
          <w:rFonts w:ascii="Times New Roman" w:eastAsia="Times New Roman" w:hAnsi="Times New Roman" w:cs="Times New Roman"/>
          <w:b/>
        </w:rPr>
        <w:t>E</w:t>
      </w:r>
    </w:p>
    <w:p w14:paraId="0DE51E0D" w14:textId="6C478CD0" w:rsidR="003A2854" w:rsidRPr="00491BF2" w:rsidRDefault="00000000">
      <w:pPr>
        <w:keepNext/>
        <w:keepLines/>
        <w:spacing w:before="120" w:after="120" w:line="240" w:lineRule="auto"/>
        <w:jc w:val="both"/>
        <w:rPr>
          <w:rFonts w:ascii="Times New Roman" w:eastAsia="Times New Roman" w:hAnsi="Times New Roman" w:cs="Times New Roman"/>
          <w:b/>
          <w:color w:val="BFBFBF" w:themeColor="background1" w:themeShade="BF"/>
          <w:highlight w:val="white"/>
        </w:rPr>
      </w:pPr>
      <w:r w:rsidRPr="00491BF2">
        <w:rPr>
          <w:rFonts w:ascii="Times New Roman" w:eastAsia="Times New Roman" w:hAnsi="Times New Roman" w:cs="Times New Roman"/>
          <w:b/>
          <w:color w:val="BFBFBF" w:themeColor="background1" w:themeShade="BF"/>
        </w:rPr>
        <w:t xml:space="preserve">Doutorando do </w:t>
      </w:r>
      <w:r w:rsidRPr="00491BF2">
        <w:rPr>
          <w:rFonts w:ascii="Times New Roman" w:eastAsia="Times New Roman" w:hAnsi="Times New Roman" w:cs="Times New Roman"/>
          <w:b/>
          <w:color w:val="BFBFBF" w:themeColor="background1" w:themeShade="BF"/>
          <w:highlight w:val="white"/>
        </w:rPr>
        <w:t xml:space="preserve">Programa de Doutorado em Desenvolvimento Regional - PPGDR. Universidade Federal do Tocantins (UFT). E-mail: alexandre.ao@unitins.br | </w:t>
      </w:r>
    </w:p>
    <w:p w14:paraId="29BE92F2" w14:textId="77777777" w:rsidR="003A2854" w:rsidRDefault="00000000">
      <w:pPr>
        <w:keepNext/>
        <w:keepLines/>
        <w:spacing w:before="120" w:after="120" w:line="240" w:lineRule="auto"/>
        <w:jc w:val="both"/>
        <w:rPr>
          <w:rFonts w:ascii="Times New Roman" w:eastAsia="Times New Roman" w:hAnsi="Times New Roman" w:cs="Times New Roman"/>
          <w:b/>
          <w:color w:val="BFBFBF" w:themeColor="background1" w:themeShade="BF"/>
          <w:highlight w:val="white"/>
        </w:rPr>
      </w:pPr>
      <w:r w:rsidRPr="00491BF2">
        <w:rPr>
          <w:rFonts w:ascii="Times New Roman" w:eastAsia="Times New Roman" w:hAnsi="Times New Roman" w:cs="Times New Roman"/>
          <w:b/>
          <w:color w:val="BFBFBF" w:themeColor="background1" w:themeShade="BF"/>
          <w:highlight w:val="white"/>
        </w:rPr>
        <w:t>Orcid.org/</w:t>
      </w:r>
      <w:r w:rsidRPr="00491BF2">
        <w:rPr>
          <w:rFonts w:ascii="Times New Roman" w:eastAsia="Times New Roman" w:hAnsi="Times New Roman" w:cs="Times New Roman"/>
          <w:b/>
          <w:color w:val="BFBFBF" w:themeColor="background1" w:themeShade="BF"/>
        </w:rPr>
        <w:t xml:space="preserve"> </w:t>
      </w:r>
      <w:r w:rsidRPr="00491BF2">
        <w:rPr>
          <w:rFonts w:ascii="Times New Roman" w:eastAsia="Times New Roman" w:hAnsi="Times New Roman" w:cs="Times New Roman"/>
          <w:b/>
          <w:color w:val="BFBFBF" w:themeColor="background1" w:themeShade="BF"/>
          <w:highlight w:val="white"/>
        </w:rPr>
        <w:t xml:space="preserve">0000-0001-7804-794X  </w:t>
      </w:r>
    </w:p>
    <w:p w14:paraId="02D4B084" w14:textId="77777777" w:rsidR="00553946" w:rsidRDefault="00553946">
      <w:pPr>
        <w:keepNext/>
        <w:keepLines/>
        <w:spacing w:before="120" w:after="120" w:line="240" w:lineRule="auto"/>
        <w:jc w:val="both"/>
        <w:rPr>
          <w:rFonts w:ascii="Times New Roman" w:eastAsia="Times New Roman" w:hAnsi="Times New Roman" w:cs="Times New Roman"/>
          <w:b/>
          <w:color w:val="BFBFBF" w:themeColor="background1" w:themeShade="BF"/>
          <w:highlight w:val="white"/>
        </w:rPr>
      </w:pPr>
    </w:p>
    <w:p w14:paraId="752A0426" w14:textId="77777777" w:rsidR="00553946" w:rsidRDefault="00553946" w:rsidP="00553946">
      <w:pPr>
        <w:keepNext/>
        <w:keepLines/>
        <w:pBdr>
          <w:top w:val="nil"/>
          <w:left w:val="nil"/>
          <w:bottom w:val="nil"/>
          <w:right w:val="nil"/>
          <w:between w:val="nil"/>
        </w:pBdr>
        <w:spacing w:before="120" w:after="120" w:line="240" w:lineRule="auto"/>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SUZANA GILIOLI DA COSTA NUNES  </w:t>
      </w:r>
    </w:p>
    <w:p w14:paraId="67EE2794" w14:textId="77777777" w:rsidR="00553946" w:rsidRPr="00491BF2" w:rsidRDefault="00553946" w:rsidP="00553946">
      <w:pPr>
        <w:keepNext/>
        <w:keepLines/>
        <w:pBdr>
          <w:top w:val="nil"/>
          <w:left w:val="nil"/>
          <w:bottom w:val="nil"/>
          <w:right w:val="nil"/>
          <w:between w:val="nil"/>
        </w:pBdr>
        <w:spacing w:before="120" w:after="120" w:line="240" w:lineRule="auto"/>
        <w:rPr>
          <w:rFonts w:ascii="Times New Roman" w:eastAsia="Times New Roman" w:hAnsi="Times New Roman" w:cs="Times New Roman"/>
          <w:b/>
          <w:color w:val="BFBFBF" w:themeColor="background1" w:themeShade="BF"/>
          <w:highlight w:val="white"/>
        </w:rPr>
      </w:pPr>
      <w:r w:rsidRPr="00491BF2">
        <w:rPr>
          <w:rFonts w:ascii="Times New Roman" w:eastAsia="Times New Roman" w:hAnsi="Times New Roman" w:cs="Times New Roman"/>
          <w:b/>
          <w:color w:val="BFBFBF" w:themeColor="background1" w:themeShade="BF"/>
          <w:highlight w:val="white"/>
        </w:rPr>
        <w:t xml:space="preserve">Professora do Programa de Mestrado Profissional em Administração Pública – PROFIAP. Universidade Federal do Tocantins (UFT). E-mail: suzanagilioli@uft.edu.br | </w:t>
      </w:r>
      <w:hyperlink r:id="rId6">
        <w:r w:rsidRPr="00491BF2">
          <w:rPr>
            <w:rFonts w:ascii="Times New Roman" w:eastAsia="Times New Roman" w:hAnsi="Times New Roman" w:cs="Times New Roman"/>
            <w:b/>
            <w:color w:val="BFBFBF" w:themeColor="background1" w:themeShade="BF"/>
            <w:highlight w:val="white"/>
            <w:u w:val="single"/>
          </w:rPr>
          <w:t>Orcid.org/0000-0002-3173-2998</w:t>
        </w:r>
      </w:hyperlink>
    </w:p>
    <w:p w14:paraId="5577EF73" w14:textId="77777777" w:rsidR="00553946" w:rsidRPr="00491BF2" w:rsidRDefault="00553946">
      <w:pPr>
        <w:keepNext/>
        <w:keepLines/>
        <w:spacing w:before="120" w:after="120" w:line="240" w:lineRule="auto"/>
        <w:jc w:val="both"/>
        <w:rPr>
          <w:rFonts w:ascii="Times New Roman" w:eastAsia="Times New Roman" w:hAnsi="Times New Roman" w:cs="Times New Roman"/>
          <w:b/>
          <w:color w:val="BFBFBF" w:themeColor="background1" w:themeShade="BF"/>
          <w:highlight w:val="white"/>
        </w:rPr>
      </w:pPr>
    </w:p>
    <w:p w14:paraId="0F180690" w14:textId="77777777" w:rsidR="003A2854" w:rsidRDefault="003A2854">
      <w:pPr>
        <w:keepNext/>
        <w:keepLines/>
        <w:pBdr>
          <w:top w:val="nil"/>
          <w:left w:val="nil"/>
          <w:bottom w:val="nil"/>
          <w:right w:val="nil"/>
          <w:between w:val="nil"/>
        </w:pBdr>
        <w:spacing w:before="120" w:after="120" w:line="240" w:lineRule="auto"/>
        <w:rPr>
          <w:rFonts w:ascii="Arial" w:eastAsia="Arial" w:hAnsi="Arial" w:cs="Arial"/>
          <w:b/>
          <w:color w:val="000000"/>
          <w:sz w:val="20"/>
          <w:szCs w:val="20"/>
        </w:rPr>
      </w:pPr>
    </w:p>
    <w:p w14:paraId="27C08214" w14:textId="77777777" w:rsidR="003A2854" w:rsidRDefault="003A2854">
      <w:pPr>
        <w:keepNext/>
        <w:keepLines/>
        <w:pBdr>
          <w:top w:val="nil"/>
          <w:left w:val="nil"/>
          <w:bottom w:val="nil"/>
          <w:right w:val="nil"/>
          <w:between w:val="nil"/>
        </w:pBdr>
        <w:spacing w:before="120" w:after="120" w:line="240" w:lineRule="auto"/>
        <w:rPr>
          <w:rFonts w:ascii="Arial" w:eastAsia="Arial" w:hAnsi="Arial" w:cs="Arial"/>
          <w:b/>
          <w:color w:val="000000"/>
          <w:sz w:val="20"/>
          <w:szCs w:val="20"/>
        </w:rPr>
      </w:pPr>
    </w:p>
    <w:p w14:paraId="1F4B02D9" w14:textId="2AD5EF3C" w:rsidR="003A2854" w:rsidRDefault="003A2854">
      <w:pPr>
        <w:rPr>
          <w:rFonts w:ascii="Bahnschrift Light" w:eastAsia="Bahnschrift Light" w:hAnsi="Bahnschrift Light" w:cs="Bahnschrift Light"/>
          <w:sz w:val="18"/>
          <w:szCs w:val="18"/>
        </w:rPr>
      </w:pPr>
    </w:p>
    <w:p w14:paraId="1BB9008C" w14:textId="77777777" w:rsidR="003A2854" w:rsidRDefault="00000000" w:rsidP="00553946">
      <w:pPr>
        <w:spacing w:after="0" w:line="240" w:lineRule="auto"/>
        <w:jc w:val="both"/>
        <w:rPr>
          <w:rFonts w:ascii="Bahnschrift Condensed" w:eastAsia="Bahnschrift Condensed" w:hAnsi="Bahnschrift Condensed" w:cs="Bahnschrift Condensed"/>
          <w:sz w:val="32"/>
          <w:szCs w:val="32"/>
        </w:rPr>
      </w:pPr>
      <w:bookmarkStart w:id="3" w:name="_3jx6zmpaxlju" w:colFirst="0" w:colLast="0"/>
      <w:bookmarkEnd w:id="3"/>
      <w:r>
        <w:br w:type="page"/>
      </w:r>
      <w:r>
        <w:rPr>
          <w:rFonts w:ascii="Bahnschrift Condensed" w:eastAsia="Bahnschrift Condensed" w:hAnsi="Bahnschrift Condensed" w:cs="Bahnschrift Condensed"/>
          <w:sz w:val="32"/>
          <w:szCs w:val="32"/>
        </w:rPr>
        <w:lastRenderedPageBreak/>
        <w:t>RESUMO:</w:t>
      </w:r>
    </w:p>
    <w:p w14:paraId="2356B9CD" w14:textId="77777777" w:rsidR="003A285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artigo parte de uma inquietação: por que a liderança, sendo um dos mecanismos mais apontados da governança pública, ainda aparece de forma tão pouco expressiva nas pesquisas voltadas às universidades públicas? A proposta aqui é exatamente olhar para essa lacuna, a partir das orientações do Tribunal de Contas da União (TCU). A metodologia adotada articula revisão sistemática da literatura com análise bibliométrica — e sim, com certa dose de paciência, foram investigadas as bases CAPES, </w:t>
      </w:r>
      <w:proofErr w:type="spellStart"/>
      <w:r>
        <w:rPr>
          <w:rFonts w:ascii="Times New Roman" w:eastAsia="Times New Roman" w:hAnsi="Times New Roman" w:cs="Times New Roman"/>
          <w:sz w:val="24"/>
          <w:szCs w:val="24"/>
        </w:rPr>
        <w:t>Scielo</w:t>
      </w:r>
      <w:proofErr w:type="spellEnd"/>
      <w:r>
        <w:rPr>
          <w:rFonts w:ascii="Times New Roman" w:eastAsia="Times New Roman" w:hAnsi="Times New Roman" w:cs="Times New Roman"/>
          <w:sz w:val="24"/>
          <w:szCs w:val="24"/>
        </w:rPr>
        <w:t xml:space="preserve"> e BDTD, aplicando o método </w:t>
      </w:r>
      <w:proofErr w:type="spellStart"/>
      <w:r>
        <w:rPr>
          <w:rFonts w:ascii="Times New Roman" w:eastAsia="Times New Roman" w:hAnsi="Times New Roman" w:cs="Times New Roman"/>
          <w:sz w:val="24"/>
          <w:szCs w:val="24"/>
        </w:rPr>
        <w:t>Proknow</w:t>
      </w:r>
      <w:proofErr w:type="spellEnd"/>
      <w:r>
        <w:rPr>
          <w:rFonts w:ascii="Times New Roman" w:eastAsia="Times New Roman" w:hAnsi="Times New Roman" w:cs="Times New Roman"/>
          <w:sz w:val="24"/>
          <w:szCs w:val="24"/>
        </w:rPr>
        <w:t>-C. O período delimitado foi de 2019 a 2023. Ao final, foram selecionadas 61 publicações em periódicos e 11 dissertações ou teses. O resultado mais evidente talvez seja a quase ausência de produções que articulem os termos “liderança”, “governança pública” e “TCU”. Esse dado, por si só, já aponta para uma fragilidade teórica e prática, chamando atenção para a necessidade de novos estudos que consigam aproximar esses conceitos de forma mais robusta.</w:t>
      </w:r>
    </w:p>
    <w:p w14:paraId="5122B720" w14:textId="77777777" w:rsidR="003A2854" w:rsidRDefault="00000000">
      <w:pPr>
        <w:spacing w:after="0" w:line="360" w:lineRule="auto"/>
        <w:jc w:val="both"/>
        <w:rPr>
          <w:rFonts w:ascii="Arial" w:eastAsia="Arial" w:hAnsi="Arial" w:cs="Arial"/>
          <w:sz w:val="24"/>
          <w:szCs w:val="24"/>
        </w:rPr>
      </w:pPr>
      <w:r>
        <w:rPr>
          <w:rFonts w:ascii="Arial" w:eastAsia="Arial" w:hAnsi="Arial" w:cs="Arial"/>
          <w:b/>
          <w:sz w:val="24"/>
          <w:szCs w:val="24"/>
        </w:rPr>
        <w:t>Palavras-chave:</w:t>
      </w:r>
      <w:r>
        <w:rPr>
          <w:rFonts w:ascii="Arial" w:eastAsia="Arial" w:hAnsi="Arial" w:cs="Arial"/>
          <w:sz w:val="24"/>
          <w:szCs w:val="24"/>
        </w:rPr>
        <w:t xml:space="preserve"> Governança pública; Universidade pública; Liderança.</w:t>
      </w:r>
    </w:p>
    <w:p w14:paraId="3BD835AB" w14:textId="77777777" w:rsidR="003A2854" w:rsidRDefault="00000000">
      <w:pPr>
        <w:pBdr>
          <w:top w:val="nil"/>
          <w:left w:val="nil"/>
          <w:bottom w:val="nil"/>
          <w:right w:val="nil"/>
          <w:between w:val="nil"/>
        </w:pBdr>
        <w:spacing w:after="0"/>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 </w:t>
      </w:r>
    </w:p>
    <w:p w14:paraId="708FC24D" w14:textId="77777777" w:rsidR="003A2854" w:rsidRDefault="003A2854">
      <w:pPr>
        <w:pBdr>
          <w:top w:val="nil"/>
          <w:left w:val="nil"/>
          <w:bottom w:val="single" w:sz="6" w:space="1" w:color="767171"/>
          <w:right w:val="nil"/>
          <w:between w:val="nil"/>
        </w:pBdr>
        <w:spacing w:before="120" w:after="360" w:line="276" w:lineRule="auto"/>
        <w:jc w:val="both"/>
        <w:rPr>
          <w:rFonts w:ascii="Arial" w:eastAsia="Arial" w:hAnsi="Arial" w:cs="Arial"/>
          <w:color w:val="000000"/>
          <w:sz w:val="24"/>
          <w:szCs w:val="24"/>
        </w:rPr>
      </w:pPr>
    </w:p>
    <w:p w14:paraId="561DF45D" w14:textId="77777777" w:rsidR="003A2854" w:rsidRDefault="00000000">
      <w:pPr>
        <w:jc w:val="both"/>
        <w:rPr>
          <w:rFonts w:ascii="Arial" w:eastAsia="Arial" w:hAnsi="Arial" w:cs="Arial"/>
          <w:sz w:val="18"/>
          <w:szCs w:val="18"/>
        </w:rPr>
      </w:pPr>
      <w:r>
        <w:rPr>
          <w:rFonts w:ascii="Bahnschrift Condensed" w:eastAsia="Bahnschrift Condensed" w:hAnsi="Bahnschrift Condensed" w:cs="Bahnschrift Condensed"/>
          <w:sz w:val="32"/>
          <w:szCs w:val="32"/>
        </w:rPr>
        <w:t>ABSTRACT:</w:t>
      </w:r>
      <w:r>
        <w:br/>
      </w:r>
      <w:proofErr w:type="spellStart"/>
      <w:r>
        <w:rPr>
          <w:rFonts w:ascii="Arial" w:eastAsia="Arial" w:hAnsi="Arial" w:cs="Arial"/>
          <w:sz w:val="18"/>
          <w:szCs w:val="18"/>
        </w:rPr>
        <w:t>This</w:t>
      </w:r>
      <w:proofErr w:type="spellEnd"/>
      <w:r>
        <w:rPr>
          <w:rFonts w:ascii="Arial" w:eastAsia="Arial" w:hAnsi="Arial" w:cs="Arial"/>
          <w:sz w:val="18"/>
          <w:szCs w:val="18"/>
        </w:rPr>
        <w:t xml:space="preserve"> </w:t>
      </w:r>
      <w:proofErr w:type="spellStart"/>
      <w:r>
        <w:rPr>
          <w:rFonts w:ascii="Arial" w:eastAsia="Arial" w:hAnsi="Arial" w:cs="Arial"/>
          <w:sz w:val="18"/>
          <w:szCs w:val="18"/>
        </w:rPr>
        <w:t>article</w:t>
      </w:r>
      <w:proofErr w:type="spellEnd"/>
      <w:r>
        <w:rPr>
          <w:rFonts w:ascii="Arial" w:eastAsia="Arial" w:hAnsi="Arial" w:cs="Arial"/>
          <w:sz w:val="18"/>
          <w:szCs w:val="18"/>
        </w:rPr>
        <w:t xml:space="preserve"> </w:t>
      </w:r>
      <w:proofErr w:type="spellStart"/>
      <w:r>
        <w:rPr>
          <w:rFonts w:ascii="Arial" w:eastAsia="Arial" w:hAnsi="Arial" w:cs="Arial"/>
          <w:sz w:val="18"/>
          <w:szCs w:val="18"/>
        </w:rPr>
        <w:t>arises</w:t>
      </w:r>
      <w:proofErr w:type="spellEnd"/>
      <w:r>
        <w:rPr>
          <w:rFonts w:ascii="Arial" w:eastAsia="Arial" w:hAnsi="Arial" w:cs="Arial"/>
          <w:sz w:val="18"/>
          <w:szCs w:val="18"/>
        </w:rPr>
        <w:t xml:space="preserve"> </w:t>
      </w:r>
      <w:proofErr w:type="spellStart"/>
      <w:r>
        <w:rPr>
          <w:rFonts w:ascii="Arial" w:eastAsia="Arial" w:hAnsi="Arial" w:cs="Arial"/>
          <w:sz w:val="18"/>
          <w:szCs w:val="18"/>
        </w:rPr>
        <w:t>from</w:t>
      </w:r>
      <w:proofErr w:type="spellEnd"/>
      <w:r>
        <w:rPr>
          <w:rFonts w:ascii="Arial" w:eastAsia="Arial" w:hAnsi="Arial" w:cs="Arial"/>
          <w:sz w:val="18"/>
          <w:szCs w:val="18"/>
        </w:rPr>
        <w:t xml:space="preserve"> a </w:t>
      </w:r>
      <w:proofErr w:type="spellStart"/>
      <w:r>
        <w:rPr>
          <w:rFonts w:ascii="Arial" w:eastAsia="Arial" w:hAnsi="Arial" w:cs="Arial"/>
          <w:sz w:val="18"/>
          <w:szCs w:val="18"/>
        </w:rPr>
        <w:t>question</w:t>
      </w:r>
      <w:proofErr w:type="spellEnd"/>
      <w:r>
        <w:rPr>
          <w:rFonts w:ascii="Arial" w:eastAsia="Arial" w:hAnsi="Arial" w:cs="Arial"/>
          <w:sz w:val="18"/>
          <w:szCs w:val="18"/>
        </w:rPr>
        <w:t xml:space="preserve">: </w:t>
      </w:r>
      <w:proofErr w:type="spellStart"/>
      <w:r>
        <w:rPr>
          <w:rFonts w:ascii="Arial" w:eastAsia="Arial" w:hAnsi="Arial" w:cs="Arial"/>
          <w:sz w:val="18"/>
          <w:szCs w:val="18"/>
        </w:rPr>
        <w:t>why</w:t>
      </w:r>
      <w:proofErr w:type="spellEnd"/>
      <w:r>
        <w:rPr>
          <w:rFonts w:ascii="Arial" w:eastAsia="Arial" w:hAnsi="Arial" w:cs="Arial"/>
          <w:sz w:val="18"/>
          <w:szCs w:val="18"/>
        </w:rPr>
        <w:t xml:space="preserve"> does </w:t>
      </w:r>
      <w:proofErr w:type="spellStart"/>
      <w:r>
        <w:rPr>
          <w:rFonts w:ascii="Arial" w:eastAsia="Arial" w:hAnsi="Arial" w:cs="Arial"/>
          <w:sz w:val="18"/>
          <w:szCs w:val="18"/>
        </w:rPr>
        <w:t>leadership</w:t>
      </w:r>
      <w:proofErr w:type="spellEnd"/>
      <w:r>
        <w:rPr>
          <w:rFonts w:ascii="Arial" w:eastAsia="Arial" w:hAnsi="Arial" w:cs="Arial"/>
          <w:sz w:val="18"/>
          <w:szCs w:val="18"/>
        </w:rPr>
        <w:t>—</w:t>
      </w:r>
      <w:proofErr w:type="spellStart"/>
      <w:r>
        <w:rPr>
          <w:rFonts w:ascii="Arial" w:eastAsia="Arial" w:hAnsi="Arial" w:cs="Arial"/>
          <w:sz w:val="18"/>
          <w:szCs w:val="18"/>
        </w:rPr>
        <w:t>being</w:t>
      </w:r>
      <w:proofErr w:type="spellEnd"/>
      <w:r>
        <w:rPr>
          <w:rFonts w:ascii="Arial" w:eastAsia="Arial" w:hAnsi="Arial" w:cs="Arial"/>
          <w:sz w:val="18"/>
          <w:szCs w:val="18"/>
        </w:rPr>
        <w:t xml:space="preserve"> </w:t>
      </w:r>
      <w:proofErr w:type="spellStart"/>
      <w:r>
        <w:rPr>
          <w:rFonts w:ascii="Arial" w:eastAsia="Arial" w:hAnsi="Arial" w:cs="Arial"/>
          <w:sz w:val="18"/>
          <w:szCs w:val="18"/>
        </w:rPr>
        <w:t>one</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most</w:t>
      </w:r>
      <w:proofErr w:type="spellEnd"/>
      <w:r>
        <w:rPr>
          <w:rFonts w:ascii="Arial" w:eastAsia="Arial" w:hAnsi="Arial" w:cs="Arial"/>
          <w:sz w:val="18"/>
          <w:szCs w:val="18"/>
        </w:rPr>
        <w:t xml:space="preserve"> </w:t>
      </w:r>
      <w:proofErr w:type="spellStart"/>
      <w:r>
        <w:rPr>
          <w:rFonts w:ascii="Arial" w:eastAsia="Arial" w:hAnsi="Arial" w:cs="Arial"/>
          <w:sz w:val="18"/>
          <w:szCs w:val="18"/>
        </w:rPr>
        <w:t>frequently</w:t>
      </w:r>
      <w:proofErr w:type="spellEnd"/>
      <w:r>
        <w:rPr>
          <w:rFonts w:ascii="Arial" w:eastAsia="Arial" w:hAnsi="Arial" w:cs="Arial"/>
          <w:sz w:val="18"/>
          <w:szCs w:val="18"/>
        </w:rPr>
        <w:t xml:space="preserve"> </w:t>
      </w:r>
      <w:proofErr w:type="spellStart"/>
      <w:r>
        <w:rPr>
          <w:rFonts w:ascii="Arial" w:eastAsia="Arial" w:hAnsi="Arial" w:cs="Arial"/>
          <w:sz w:val="18"/>
          <w:szCs w:val="18"/>
        </w:rPr>
        <w:t>mentioned</w:t>
      </w:r>
      <w:proofErr w:type="spellEnd"/>
      <w:r>
        <w:rPr>
          <w:rFonts w:ascii="Arial" w:eastAsia="Arial" w:hAnsi="Arial" w:cs="Arial"/>
          <w:sz w:val="18"/>
          <w:szCs w:val="18"/>
        </w:rPr>
        <w:t xml:space="preserve"> </w:t>
      </w:r>
      <w:proofErr w:type="spellStart"/>
      <w:r>
        <w:rPr>
          <w:rFonts w:ascii="Arial" w:eastAsia="Arial" w:hAnsi="Arial" w:cs="Arial"/>
          <w:sz w:val="18"/>
          <w:szCs w:val="18"/>
        </w:rPr>
        <w:t>mechanisms</w:t>
      </w:r>
      <w:proofErr w:type="spellEnd"/>
      <w:r>
        <w:rPr>
          <w:rFonts w:ascii="Arial" w:eastAsia="Arial" w:hAnsi="Arial" w:cs="Arial"/>
          <w:sz w:val="18"/>
          <w:szCs w:val="18"/>
        </w:rPr>
        <w:t xml:space="preserve"> in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governance</w:t>
      </w:r>
      <w:proofErr w:type="spellEnd"/>
      <w:r>
        <w:rPr>
          <w:rFonts w:ascii="Arial" w:eastAsia="Arial" w:hAnsi="Arial" w:cs="Arial"/>
          <w:sz w:val="18"/>
          <w:szCs w:val="18"/>
        </w:rPr>
        <w:t xml:space="preserve">—still </w:t>
      </w:r>
      <w:proofErr w:type="spellStart"/>
      <w:r>
        <w:rPr>
          <w:rFonts w:ascii="Arial" w:eastAsia="Arial" w:hAnsi="Arial" w:cs="Arial"/>
          <w:sz w:val="18"/>
          <w:szCs w:val="18"/>
        </w:rPr>
        <w:t>appear</w:t>
      </w:r>
      <w:proofErr w:type="spellEnd"/>
      <w:r>
        <w:rPr>
          <w:rFonts w:ascii="Arial" w:eastAsia="Arial" w:hAnsi="Arial" w:cs="Arial"/>
          <w:sz w:val="18"/>
          <w:szCs w:val="18"/>
        </w:rPr>
        <w:t xml:space="preserve"> </w:t>
      </w:r>
      <w:proofErr w:type="spellStart"/>
      <w:r>
        <w:rPr>
          <w:rFonts w:ascii="Arial" w:eastAsia="Arial" w:hAnsi="Arial" w:cs="Arial"/>
          <w:sz w:val="18"/>
          <w:szCs w:val="18"/>
        </w:rPr>
        <w:t>so</w:t>
      </w:r>
      <w:proofErr w:type="spellEnd"/>
      <w:r>
        <w:rPr>
          <w:rFonts w:ascii="Arial" w:eastAsia="Arial" w:hAnsi="Arial" w:cs="Arial"/>
          <w:sz w:val="18"/>
          <w:szCs w:val="18"/>
        </w:rPr>
        <w:t xml:space="preserve"> </w:t>
      </w:r>
      <w:proofErr w:type="spellStart"/>
      <w:r>
        <w:rPr>
          <w:rFonts w:ascii="Arial" w:eastAsia="Arial" w:hAnsi="Arial" w:cs="Arial"/>
          <w:sz w:val="18"/>
          <w:szCs w:val="18"/>
        </w:rPr>
        <w:t>weakly</w:t>
      </w:r>
      <w:proofErr w:type="spellEnd"/>
      <w:r>
        <w:rPr>
          <w:rFonts w:ascii="Arial" w:eastAsia="Arial" w:hAnsi="Arial" w:cs="Arial"/>
          <w:sz w:val="18"/>
          <w:szCs w:val="18"/>
        </w:rPr>
        <w:t xml:space="preserve"> in </w:t>
      </w:r>
      <w:proofErr w:type="spellStart"/>
      <w:r>
        <w:rPr>
          <w:rFonts w:ascii="Arial" w:eastAsia="Arial" w:hAnsi="Arial" w:cs="Arial"/>
          <w:sz w:val="18"/>
          <w:szCs w:val="18"/>
        </w:rPr>
        <w:t>research</w:t>
      </w:r>
      <w:proofErr w:type="spellEnd"/>
      <w:r>
        <w:rPr>
          <w:rFonts w:ascii="Arial" w:eastAsia="Arial" w:hAnsi="Arial" w:cs="Arial"/>
          <w:sz w:val="18"/>
          <w:szCs w:val="18"/>
        </w:rPr>
        <w:t xml:space="preserve"> </w:t>
      </w:r>
      <w:proofErr w:type="spellStart"/>
      <w:r>
        <w:rPr>
          <w:rFonts w:ascii="Arial" w:eastAsia="Arial" w:hAnsi="Arial" w:cs="Arial"/>
          <w:sz w:val="18"/>
          <w:szCs w:val="18"/>
        </w:rPr>
        <w:t>focused</w:t>
      </w:r>
      <w:proofErr w:type="spellEnd"/>
      <w:r>
        <w:rPr>
          <w:rFonts w:ascii="Arial" w:eastAsia="Arial" w:hAnsi="Arial" w:cs="Arial"/>
          <w:sz w:val="18"/>
          <w:szCs w:val="18"/>
        </w:rPr>
        <w:t xml:space="preserve"> </w:t>
      </w:r>
      <w:proofErr w:type="spellStart"/>
      <w:r>
        <w:rPr>
          <w:rFonts w:ascii="Arial" w:eastAsia="Arial" w:hAnsi="Arial" w:cs="Arial"/>
          <w:sz w:val="18"/>
          <w:szCs w:val="18"/>
        </w:rPr>
        <w:t>on</w:t>
      </w:r>
      <w:proofErr w:type="spellEnd"/>
      <w:r>
        <w:rPr>
          <w:rFonts w:ascii="Arial" w:eastAsia="Arial" w:hAnsi="Arial" w:cs="Arial"/>
          <w:sz w:val="18"/>
          <w:szCs w:val="18"/>
        </w:rPr>
        <w:t xml:space="preserve">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universities</w:t>
      </w:r>
      <w:proofErr w:type="spellEnd"/>
      <w:r>
        <w:rPr>
          <w:rFonts w:ascii="Arial" w:eastAsia="Arial" w:hAnsi="Arial" w:cs="Arial"/>
          <w:sz w:val="18"/>
          <w:szCs w:val="18"/>
        </w:rPr>
        <w:t xml:space="preserve">? The </w:t>
      </w:r>
      <w:proofErr w:type="spellStart"/>
      <w:r>
        <w:rPr>
          <w:rFonts w:ascii="Arial" w:eastAsia="Arial" w:hAnsi="Arial" w:cs="Arial"/>
          <w:sz w:val="18"/>
          <w:szCs w:val="18"/>
        </w:rPr>
        <w:t>proposal</w:t>
      </w:r>
      <w:proofErr w:type="spellEnd"/>
      <w:r>
        <w:rPr>
          <w:rFonts w:ascii="Arial" w:eastAsia="Arial" w:hAnsi="Arial" w:cs="Arial"/>
          <w:sz w:val="18"/>
          <w:szCs w:val="18"/>
        </w:rPr>
        <w:t xml:space="preserve"> </w:t>
      </w:r>
      <w:proofErr w:type="spellStart"/>
      <w:r>
        <w:rPr>
          <w:rFonts w:ascii="Arial" w:eastAsia="Arial" w:hAnsi="Arial" w:cs="Arial"/>
          <w:sz w:val="18"/>
          <w:szCs w:val="18"/>
        </w:rPr>
        <w:t>here</w:t>
      </w:r>
      <w:proofErr w:type="spellEnd"/>
      <w:r>
        <w:rPr>
          <w:rFonts w:ascii="Arial" w:eastAsia="Arial" w:hAnsi="Arial" w:cs="Arial"/>
          <w:sz w:val="18"/>
          <w:szCs w:val="18"/>
        </w:rPr>
        <w:t xml:space="preserve"> </w:t>
      </w:r>
      <w:proofErr w:type="spellStart"/>
      <w:r>
        <w:rPr>
          <w:rFonts w:ascii="Arial" w:eastAsia="Arial" w:hAnsi="Arial" w:cs="Arial"/>
          <w:sz w:val="18"/>
          <w:szCs w:val="18"/>
        </w:rPr>
        <w:t>is</w:t>
      </w:r>
      <w:proofErr w:type="spellEnd"/>
      <w:r>
        <w:rPr>
          <w:rFonts w:ascii="Arial" w:eastAsia="Arial" w:hAnsi="Arial" w:cs="Arial"/>
          <w:sz w:val="18"/>
          <w:szCs w:val="18"/>
        </w:rPr>
        <w:t xml:space="preserve"> </w:t>
      </w:r>
      <w:proofErr w:type="spellStart"/>
      <w:r>
        <w:rPr>
          <w:rFonts w:ascii="Arial" w:eastAsia="Arial" w:hAnsi="Arial" w:cs="Arial"/>
          <w:sz w:val="18"/>
          <w:szCs w:val="18"/>
        </w:rPr>
        <w:t>precisely</w:t>
      </w:r>
      <w:proofErr w:type="spellEnd"/>
      <w:r>
        <w:rPr>
          <w:rFonts w:ascii="Arial" w:eastAsia="Arial" w:hAnsi="Arial" w:cs="Arial"/>
          <w:sz w:val="18"/>
          <w:szCs w:val="18"/>
        </w:rPr>
        <w:t xml:space="preserve"> </w:t>
      </w:r>
      <w:proofErr w:type="spellStart"/>
      <w:r>
        <w:rPr>
          <w:rFonts w:ascii="Arial" w:eastAsia="Arial" w:hAnsi="Arial" w:cs="Arial"/>
          <w:sz w:val="18"/>
          <w:szCs w:val="18"/>
        </w:rPr>
        <w:t>to</w:t>
      </w:r>
      <w:proofErr w:type="spellEnd"/>
      <w:r>
        <w:rPr>
          <w:rFonts w:ascii="Arial" w:eastAsia="Arial" w:hAnsi="Arial" w:cs="Arial"/>
          <w:sz w:val="18"/>
          <w:szCs w:val="18"/>
        </w:rPr>
        <w:t xml:space="preserve"> examine </w:t>
      </w:r>
      <w:proofErr w:type="spellStart"/>
      <w:r>
        <w:rPr>
          <w:rFonts w:ascii="Arial" w:eastAsia="Arial" w:hAnsi="Arial" w:cs="Arial"/>
          <w:sz w:val="18"/>
          <w:szCs w:val="18"/>
        </w:rPr>
        <w:t>this</w:t>
      </w:r>
      <w:proofErr w:type="spellEnd"/>
      <w:r>
        <w:rPr>
          <w:rFonts w:ascii="Arial" w:eastAsia="Arial" w:hAnsi="Arial" w:cs="Arial"/>
          <w:sz w:val="18"/>
          <w:szCs w:val="18"/>
        </w:rPr>
        <w:t xml:space="preserve"> gap, </w:t>
      </w:r>
      <w:proofErr w:type="spellStart"/>
      <w:r>
        <w:rPr>
          <w:rFonts w:ascii="Arial" w:eastAsia="Arial" w:hAnsi="Arial" w:cs="Arial"/>
          <w:sz w:val="18"/>
          <w:szCs w:val="18"/>
        </w:rPr>
        <w:t>based</w:t>
      </w:r>
      <w:proofErr w:type="spellEnd"/>
      <w:r>
        <w:rPr>
          <w:rFonts w:ascii="Arial" w:eastAsia="Arial" w:hAnsi="Arial" w:cs="Arial"/>
          <w:sz w:val="18"/>
          <w:szCs w:val="18"/>
        </w:rPr>
        <w:t xml:space="preserve"> </w:t>
      </w:r>
      <w:proofErr w:type="spellStart"/>
      <w:r>
        <w:rPr>
          <w:rFonts w:ascii="Arial" w:eastAsia="Arial" w:hAnsi="Arial" w:cs="Arial"/>
          <w:sz w:val="18"/>
          <w:szCs w:val="18"/>
        </w:rPr>
        <w:t>on</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guidelines</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Brazilian</w:t>
      </w:r>
      <w:proofErr w:type="spellEnd"/>
      <w:r>
        <w:rPr>
          <w:rFonts w:ascii="Arial" w:eastAsia="Arial" w:hAnsi="Arial" w:cs="Arial"/>
          <w:sz w:val="18"/>
          <w:szCs w:val="18"/>
        </w:rPr>
        <w:t xml:space="preserve"> Federal </w:t>
      </w:r>
      <w:proofErr w:type="spellStart"/>
      <w:r>
        <w:rPr>
          <w:rFonts w:ascii="Arial" w:eastAsia="Arial" w:hAnsi="Arial" w:cs="Arial"/>
          <w:sz w:val="18"/>
          <w:szCs w:val="18"/>
        </w:rPr>
        <w:t>Court</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Accounts</w:t>
      </w:r>
      <w:proofErr w:type="spellEnd"/>
      <w:r>
        <w:rPr>
          <w:rFonts w:ascii="Arial" w:eastAsia="Arial" w:hAnsi="Arial" w:cs="Arial"/>
          <w:sz w:val="18"/>
          <w:szCs w:val="18"/>
        </w:rPr>
        <w:t xml:space="preserve"> (TCU). The </w:t>
      </w:r>
      <w:proofErr w:type="spellStart"/>
      <w:r>
        <w:rPr>
          <w:rFonts w:ascii="Arial" w:eastAsia="Arial" w:hAnsi="Arial" w:cs="Arial"/>
          <w:sz w:val="18"/>
          <w:szCs w:val="18"/>
        </w:rPr>
        <w:t>adopted</w:t>
      </w:r>
      <w:proofErr w:type="spellEnd"/>
      <w:r>
        <w:rPr>
          <w:rFonts w:ascii="Arial" w:eastAsia="Arial" w:hAnsi="Arial" w:cs="Arial"/>
          <w:sz w:val="18"/>
          <w:szCs w:val="18"/>
        </w:rPr>
        <w:t xml:space="preserve"> </w:t>
      </w:r>
      <w:proofErr w:type="spellStart"/>
      <w:r>
        <w:rPr>
          <w:rFonts w:ascii="Arial" w:eastAsia="Arial" w:hAnsi="Arial" w:cs="Arial"/>
          <w:sz w:val="18"/>
          <w:szCs w:val="18"/>
        </w:rPr>
        <w:t>methodology</w:t>
      </w:r>
      <w:proofErr w:type="spellEnd"/>
      <w:r>
        <w:rPr>
          <w:rFonts w:ascii="Arial" w:eastAsia="Arial" w:hAnsi="Arial" w:cs="Arial"/>
          <w:sz w:val="18"/>
          <w:szCs w:val="18"/>
        </w:rPr>
        <w:t xml:space="preserve"> combines a </w:t>
      </w:r>
      <w:proofErr w:type="spellStart"/>
      <w:r>
        <w:rPr>
          <w:rFonts w:ascii="Arial" w:eastAsia="Arial" w:hAnsi="Arial" w:cs="Arial"/>
          <w:sz w:val="18"/>
          <w:szCs w:val="18"/>
        </w:rPr>
        <w:t>systematic</w:t>
      </w:r>
      <w:proofErr w:type="spellEnd"/>
      <w:r>
        <w:rPr>
          <w:rFonts w:ascii="Arial" w:eastAsia="Arial" w:hAnsi="Arial" w:cs="Arial"/>
          <w:sz w:val="18"/>
          <w:szCs w:val="18"/>
        </w:rPr>
        <w:t xml:space="preserve"> </w:t>
      </w:r>
      <w:proofErr w:type="spellStart"/>
      <w:r>
        <w:rPr>
          <w:rFonts w:ascii="Arial" w:eastAsia="Arial" w:hAnsi="Arial" w:cs="Arial"/>
          <w:sz w:val="18"/>
          <w:szCs w:val="18"/>
        </w:rPr>
        <w:t>literature</w:t>
      </w:r>
      <w:proofErr w:type="spellEnd"/>
      <w:r>
        <w:rPr>
          <w:rFonts w:ascii="Arial" w:eastAsia="Arial" w:hAnsi="Arial" w:cs="Arial"/>
          <w:sz w:val="18"/>
          <w:szCs w:val="18"/>
        </w:rPr>
        <w:t xml:space="preserve"> review </w:t>
      </w:r>
      <w:proofErr w:type="spellStart"/>
      <w:r>
        <w:rPr>
          <w:rFonts w:ascii="Arial" w:eastAsia="Arial" w:hAnsi="Arial" w:cs="Arial"/>
          <w:sz w:val="18"/>
          <w:szCs w:val="18"/>
        </w:rPr>
        <w:t>with</w:t>
      </w:r>
      <w:proofErr w:type="spellEnd"/>
      <w:r>
        <w:rPr>
          <w:rFonts w:ascii="Arial" w:eastAsia="Arial" w:hAnsi="Arial" w:cs="Arial"/>
          <w:sz w:val="18"/>
          <w:szCs w:val="18"/>
        </w:rPr>
        <w:t xml:space="preserve"> </w:t>
      </w:r>
      <w:proofErr w:type="spellStart"/>
      <w:r>
        <w:rPr>
          <w:rFonts w:ascii="Arial" w:eastAsia="Arial" w:hAnsi="Arial" w:cs="Arial"/>
          <w:sz w:val="18"/>
          <w:szCs w:val="18"/>
        </w:rPr>
        <w:t>bibliometric</w:t>
      </w:r>
      <w:proofErr w:type="spellEnd"/>
      <w:r>
        <w:rPr>
          <w:rFonts w:ascii="Arial" w:eastAsia="Arial" w:hAnsi="Arial" w:cs="Arial"/>
          <w:sz w:val="18"/>
          <w:szCs w:val="18"/>
        </w:rPr>
        <w:t xml:space="preserve"> </w:t>
      </w:r>
      <w:proofErr w:type="spellStart"/>
      <w:r>
        <w:rPr>
          <w:rFonts w:ascii="Arial" w:eastAsia="Arial" w:hAnsi="Arial" w:cs="Arial"/>
          <w:sz w:val="18"/>
          <w:szCs w:val="18"/>
        </w:rPr>
        <w:t>analysis</w:t>
      </w:r>
      <w:proofErr w:type="spellEnd"/>
      <w:r>
        <w:rPr>
          <w:rFonts w:ascii="Arial" w:eastAsia="Arial" w:hAnsi="Arial" w:cs="Arial"/>
          <w:sz w:val="18"/>
          <w:szCs w:val="18"/>
        </w:rPr>
        <w:t>—</w:t>
      </w:r>
      <w:proofErr w:type="spellStart"/>
      <w:r>
        <w:rPr>
          <w:rFonts w:ascii="Arial" w:eastAsia="Arial" w:hAnsi="Arial" w:cs="Arial"/>
          <w:sz w:val="18"/>
          <w:szCs w:val="18"/>
        </w:rPr>
        <w:t>and</w:t>
      </w:r>
      <w:proofErr w:type="spellEnd"/>
      <w:r>
        <w:rPr>
          <w:rFonts w:ascii="Arial" w:eastAsia="Arial" w:hAnsi="Arial" w:cs="Arial"/>
          <w:sz w:val="18"/>
          <w:szCs w:val="18"/>
        </w:rPr>
        <w:t xml:space="preserve"> </w:t>
      </w:r>
      <w:proofErr w:type="spellStart"/>
      <w:r>
        <w:rPr>
          <w:rFonts w:ascii="Arial" w:eastAsia="Arial" w:hAnsi="Arial" w:cs="Arial"/>
          <w:sz w:val="18"/>
          <w:szCs w:val="18"/>
        </w:rPr>
        <w:t>yes</w:t>
      </w:r>
      <w:proofErr w:type="spellEnd"/>
      <w:r>
        <w:rPr>
          <w:rFonts w:ascii="Arial" w:eastAsia="Arial" w:hAnsi="Arial" w:cs="Arial"/>
          <w:sz w:val="18"/>
          <w:szCs w:val="18"/>
        </w:rPr>
        <w:t xml:space="preserve">, </w:t>
      </w:r>
      <w:proofErr w:type="spellStart"/>
      <w:r>
        <w:rPr>
          <w:rFonts w:ascii="Arial" w:eastAsia="Arial" w:hAnsi="Arial" w:cs="Arial"/>
          <w:sz w:val="18"/>
          <w:szCs w:val="18"/>
        </w:rPr>
        <w:t>with</w:t>
      </w:r>
      <w:proofErr w:type="spellEnd"/>
      <w:r>
        <w:rPr>
          <w:rFonts w:ascii="Arial" w:eastAsia="Arial" w:hAnsi="Arial" w:cs="Arial"/>
          <w:sz w:val="18"/>
          <w:szCs w:val="18"/>
        </w:rPr>
        <w:t xml:space="preserve"> a </w:t>
      </w:r>
      <w:proofErr w:type="spellStart"/>
      <w:r>
        <w:rPr>
          <w:rFonts w:ascii="Arial" w:eastAsia="Arial" w:hAnsi="Arial" w:cs="Arial"/>
          <w:sz w:val="18"/>
          <w:szCs w:val="18"/>
        </w:rPr>
        <w:t>good</w:t>
      </w:r>
      <w:proofErr w:type="spellEnd"/>
      <w:r>
        <w:rPr>
          <w:rFonts w:ascii="Arial" w:eastAsia="Arial" w:hAnsi="Arial" w:cs="Arial"/>
          <w:sz w:val="18"/>
          <w:szCs w:val="18"/>
        </w:rPr>
        <w:t xml:space="preserve"> dose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patience</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CAPES, </w:t>
      </w:r>
      <w:proofErr w:type="spellStart"/>
      <w:r>
        <w:rPr>
          <w:rFonts w:ascii="Arial" w:eastAsia="Arial" w:hAnsi="Arial" w:cs="Arial"/>
          <w:sz w:val="18"/>
          <w:szCs w:val="18"/>
        </w:rPr>
        <w:t>Scielo</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BDTD </w:t>
      </w:r>
      <w:proofErr w:type="spellStart"/>
      <w:r>
        <w:rPr>
          <w:rFonts w:ascii="Arial" w:eastAsia="Arial" w:hAnsi="Arial" w:cs="Arial"/>
          <w:sz w:val="18"/>
          <w:szCs w:val="18"/>
        </w:rPr>
        <w:t>databases</w:t>
      </w:r>
      <w:proofErr w:type="spellEnd"/>
      <w:r>
        <w:rPr>
          <w:rFonts w:ascii="Arial" w:eastAsia="Arial" w:hAnsi="Arial" w:cs="Arial"/>
          <w:sz w:val="18"/>
          <w:szCs w:val="18"/>
        </w:rPr>
        <w:t xml:space="preserve"> </w:t>
      </w:r>
      <w:proofErr w:type="spellStart"/>
      <w:r>
        <w:rPr>
          <w:rFonts w:ascii="Arial" w:eastAsia="Arial" w:hAnsi="Arial" w:cs="Arial"/>
          <w:sz w:val="18"/>
          <w:szCs w:val="18"/>
        </w:rPr>
        <w:t>were</w:t>
      </w:r>
      <w:proofErr w:type="spellEnd"/>
      <w:r>
        <w:rPr>
          <w:rFonts w:ascii="Arial" w:eastAsia="Arial" w:hAnsi="Arial" w:cs="Arial"/>
          <w:sz w:val="18"/>
          <w:szCs w:val="18"/>
        </w:rPr>
        <w:t xml:space="preserve"> </w:t>
      </w:r>
      <w:proofErr w:type="spellStart"/>
      <w:r>
        <w:rPr>
          <w:rFonts w:ascii="Arial" w:eastAsia="Arial" w:hAnsi="Arial" w:cs="Arial"/>
          <w:sz w:val="18"/>
          <w:szCs w:val="18"/>
        </w:rPr>
        <w:t>explored</w:t>
      </w:r>
      <w:proofErr w:type="spellEnd"/>
      <w:r>
        <w:rPr>
          <w:rFonts w:ascii="Arial" w:eastAsia="Arial" w:hAnsi="Arial" w:cs="Arial"/>
          <w:sz w:val="18"/>
          <w:szCs w:val="18"/>
        </w:rPr>
        <w:t xml:space="preserve"> </w:t>
      </w:r>
      <w:proofErr w:type="spellStart"/>
      <w:r>
        <w:rPr>
          <w:rFonts w:ascii="Arial" w:eastAsia="Arial" w:hAnsi="Arial" w:cs="Arial"/>
          <w:sz w:val="18"/>
          <w:szCs w:val="18"/>
        </w:rPr>
        <w:t>using</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Proknow</w:t>
      </w:r>
      <w:proofErr w:type="spellEnd"/>
      <w:r>
        <w:rPr>
          <w:rFonts w:ascii="Arial" w:eastAsia="Arial" w:hAnsi="Arial" w:cs="Arial"/>
          <w:sz w:val="18"/>
          <w:szCs w:val="18"/>
        </w:rPr>
        <w:t xml:space="preserve">-C </w:t>
      </w:r>
      <w:proofErr w:type="spellStart"/>
      <w:r>
        <w:rPr>
          <w:rFonts w:ascii="Arial" w:eastAsia="Arial" w:hAnsi="Arial" w:cs="Arial"/>
          <w:sz w:val="18"/>
          <w:szCs w:val="18"/>
        </w:rPr>
        <w:t>method</w:t>
      </w:r>
      <w:proofErr w:type="spellEnd"/>
      <w:r>
        <w:rPr>
          <w:rFonts w:ascii="Arial" w:eastAsia="Arial" w:hAnsi="Arial" w:cs="Arial"/>
          <w:sz w:val="18"/>
          <w:szCs w:val="18"/>
        </w:rPr>
        <w:t xml:space="preserve">. The time frame </w:t>
      </w:r>
      <w:proofErr w:type="spellStart"/>
      <w:r>
        <w:rPr>
          <w:rFonts w:ascii="Arial" w:eastAsia="Arial" w:hAnsi="Arial" w:cs="Arial"/>
          <w:sz w:val="18"/>
          <w:szCs w:val="18"/>
        </w:rPr>
        <w:t>considered</w:t>
      </w:r>
      <w:proofErr w:type="spellEnd"/>
      <w:r>
        <w:rPr>
          <w:rFonts w:ascii="Arial" w:eastAsia="Arial" w:hAnsi="Arial" w:cs="Arial"/>
          <w:sz w:val="18"/>
          <w:szCs w:val="18"/>
        </w:rPr>
        <w:t xml:space="preserve"> </w:t>
      </w:r>
      <w:proofErr w:type="spellStart"/>
      <w:r>
        <w:rPr>
          <w:rFonts w:ascii="Arial" w:eastAsia="Arial" w:hAnsi="Arial" w:cs="Arial"/>
          <w:sz w:val="18"/>
          <w:szCs w:val="18"/>
        </w:rPr>
        <w:t>was</w:t>
      </w:r>
      <w:proofErr w:type="spellEnd"/>
      <w:r>
        <w:rPr>
          <w:rFonts w:ascii="Arial" w:eastAsia="Arial" w:hAnsi="Arial" w:cs="Arial"/>
          <w:sz w:val="18"/>
          <w:szCs w:val="18"/>
        </w:rPr>
        <w:t xml:space="preserve"> </w:t>
      </w:r>
      <w:proofErr w:type="spellStart"/>
      <w:r>
        <w:rPr>
          <w:rFonts w:ascii="Arial" w:eastAsia="Arial" w:hAnsi="Arial" w:cs="Arial"/>
          <w:sz w:val="18"/>
          <w:szCs w:val="18"/>
        </w:rPr>
        <w:t>from</w:t>
      </w:r>
      <w:proofErr w:type="spellEnd"/>
      <w:r>
        <w:rPr>
          <w:rFonts w:ascii="Arial" w:eastAsia="Arial" w:hAnsi="Arial" w:cs="Arial"/>
          <w:sz w:val="18"/>
          <w:szCs w:val="18"/>
        </w:rPr>
        <w:t xml:space="preserve"> 2019 </w:t>
      </w:r>
      <w:proofErr w:type="spellStart"/>
      <w:r>
        <w:rPr>
          <w:rFonts w:ascii="Arial" w:eastAsia="Arial" w:hAnsi="Arial" w:cs="Arial"/>
          <w:sz w:val="18"/>
          <w:szCs w:val="18"/>
        </w:rPr>
        <w:t>to</w:t>
      </w:r>
      <w:proofErr w:type="spellEnd"/>
      <w:r>
        <w:rPr>
          <w:rFonts w:ascii="Arial" w:eastAsia="Arial" w:hAnsi="Arial" w:cs="Arial"/>
          <w:sz w:val="18"/>
          <w:szCs w:val="18"/>
        </w:rPr>
        <w:t xml:space="preserve"> 2023. In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end</w:t>
      </w:r>
      <w:proofErr w:type="spellEnd"/>
      <w:r>
        <w:rPr>
          <w:rFonts w:ascii="Arial" w:eastAsia="Arial" w:hAnsi="Arial" w:cs="Arial"/>
          <w:sz w:val="18"/>
          <w:szCs w:val="18"/>
        </w:rPr>
        <w:t xml:space="preserve">, 61 </w:t>
      </w:r>
      <w:proofErr w:type="spellStart"/>
      <w:r>
        <w:rPr>
          <w:rFonts w:ascii="Arial" w:eastAsia="Arial" w:hAnsi="Arial" w:cs="Arial"/>
          <w:sz w:val="18"/>
          <w:szCs w:val="18"/>
        </w:rPr>
        <w:t>journal</w:t>
      </w:r>
      <w:proofErr w:type="spellEnd"/>
      <w:r>
        <w:rPr>
          <w:rFonts w:ascii="Arial" w:eastAsia="Arial" w:hAnsi="Arial" w:cs="Arial"/>
          <w:sz w:val="18"/>
          <w:szCs w:val="18"/>
        </w:rPr>
        <w:t xml:space="preserve"> </w:t>
      </w:r>
      <w:proofErr w:type="spellStart"/>
      <w:r>
        <w:rPr>
          <w:rFonts w:ascii="Arial" w:eastAsia="Arial" w:hAnsi="Arial" w:cs="Arial"/>
          <w:sz w:val="18"/>
          <w:szCs w:val="18"/>
        </w:rPr>
        <w:t>publications</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11 </w:t>
      </w:r>
      <w:proofErr w:type="spellStart"/>
      <w:r>
        <w:rPr>
          <w:rFonts w:ascii="Arial" w:eastAsia="Arial" w:hAnsi="Arial" w:cs="Arial"/>
          <w:sz w:val="18"/>
          <w:szCs w:val="18"/>
        </w:rPr>
        <w:t>dissertations</w:t>
      </w:r>
      <w:proofErr w:type="spellEnd"/>
      <w:r>
        <w:rPr>
          <w:rFonts w:ascii="Arial" w:eastAsia="Arial" w:hAnsi="Arial" w:cs="Arial"/>
          <w:sz w:val="18"/>
          <w:szCs w:val="18"/>
        </w:rPr>
        <w:t xml:space="preserve"> </w:t>
      </w:r>
      <w:proofErr w:type="spellStart"/>
      <w:r>
        <w:rPr>
          <w:rFonts w:ascii="Arial" w:eastAsia="Arial" w:hAnsi="Arial" w:cs="Arial"/>
          <w:sz w:val="18"/>
          <w:szCs w:val="18"/>
        </w:rPr>
        <w:t>or</w:t>
      </w:r>
      <w:proofErr w:type="spellEnd"/>
      <w:r>
        <w:rPr>
          <w:rFonts w:ascii="Arial" w:eastAsia="Arial" w:hAnsi="Arial" w:cs="Arial"/>
          <w:sz w:val="18"/>
          <w:szCs w:val="18"/>
        </w:rPr>
        <w:t xml:space="preserve"> </w:t>
      </w:r>
      <w:proofErr w:type="spellStart"/>
      <w:r>
        <w:rPr>
          <w:rFonts w:ascii="Arial" w:eastAsia="Arial" w:hAnsi="Arial" w:cs="Arial"/>
          <w:sz w:val="18"/>
          <w:szCs w:val="18"/>
        </w:rPr>
        <w:t>theses</w:t>
      </w:r>
      <w:proofErr w:type="spellEnd"/>
      <w:r>
        <w:rPr>
          <w:rFonts w:ascii="Arial" w:eastAsia="Arial" w:hAnsi="Arial" w:cs="Arial"/>
          <w:sz w:val="18"/>
          <w:szCs w:val="18"/>
        </w:rPr>
        <w:t xml:space="preserve"> </w:t>
      </w:r>
      <w:proofErr w:type="spellStart"/>
      <w:r>
        <w:rPr>
          <w:rFonts w:ascii="Arial" w:eastAsia="Arial" w:hAnsi="Arial" w:cs="Arial"/>
          <w:sz w:val="18"/>
          <w:szCs w:val="18"/>
        </w:rPr>
        <w:t>were</w:t>
      </w:r>
      <w:proofErr w:type="spellEnd"/>
      <w:r>
        <w:rPr>
          <w:rFonts w:ascii="Arial" w:eastAsia="Arial" w:hAnsi="Arial" w:cs="Arial"/>
          <w:sz w:val="18"/>
          <w:szCs w:val="18"/>
        </w:rPr>
        <w:t xml:space="preserve"> </w:t>
      </w:r>
      <w:proofErr w:type="spellStart"/>
      <w:r>
        <w:rPr>
          <w:rFonts w:ascii="Arial" w:eastAsia="Arial" w:hAnsi="Arial" w:cs="Arial"/>
          <w:sz w:val="18"/>
          <w:szCs w:val="18"/>
        </w:rPr>
        <w:t>selected</w:t>
      </w:r>
      <w:proofErr w:type="spellEnd"/>
      <w:r>
        <w:rPr>
          <w:rFonts w:ascii="Arial" w:eastAsia="Arial" w:hAnsi="Arial" w:cs="Arial"/>
          <w:sz w:val="18"/>
          <w:szCs w:val="18"/>
        </w:rPr>
        <w:t xml:space="preserve">. The </w:t>
      </w:r>
      <w:proofErr w:type="spellStart"/>
      <w:r>
        <w:rPr>
          <w:rFonts w:ascii="Arial" w:eastAsia="Arial" w:hAnsi="Arial" w:cs="Arial"/>
          <w:sz w:val="18"/>
          <w:szCs w:val="18"/>
        </w:rPr>
        <w:t>most</w:t>
      </w:r>
      <w:proofErr w:type="spellEnd"/>
      <w:r>
        <w:rPr>
          <w:rFonts w:ascii="Arial" w:eastAsia="Arial" w:hAnsi="Arial" w:cs="Arial"/>
          <w:sz w:val="18"/>
          <w:szCs w:val="18"/>
        </w:rPr>
        <w:t xml:space="preserve"> </w:t>
      </w:r>
      <w:proofErr w:type="spellStart"/>
      <w:r>
        <w:rPr>
          <w:rFonts w:ascii="Arial" w:eastAsia="Arial" w:hAnsi="Arial" w:cs="Arial"/>
          <w:sz w:val="18"/>
          <w:szCs w:val="18"/>
        </w:rPr>
        <w:t>evident</w:t>
      </w:r>
      <w:proofErr w:type="spellEnd"/>
      <w:r>
        <w:rPr>
          <w:rFonts w:ascii="Arial" w:eastAsia="Arial" w:hAnsi="Arial" w:cs="Arial"/>
          <w:sz w:val="18"/>
          <w:szCs w:val="18"/>
        </w:rPr>
        <w:t xml:space="preserve"> </w:t>
      </w:r>
      <w:proofErr w:type="spellStart"/>
      <w:r>
        <w:rPr>
          <w:rFonts w:ascii="Arial" w:eastAsia="Arial" w:hAnsi="Arial" w:cs="Arial"/>
          <w:sz w:val="18"/>
          <w:szCs w:val="18"/>
        </w:rPr>
        <w:t>result</w:t>
      </w:r>
      <w:proofErr w:type="spellEnd"/>
      <w:r>
        <w:rPr>
          <w:rFonts w:ascii="Arial" w:eastAsia="Arial" w:hAnsi="Arial" w:cs="Arial"/>
          <w:sz w:val="18"/>
          <w:szCs w:val="18"/>
        </w:rPr>
        <w:t xml:space="preserve"> </w:t>
      </w:r>
      <w:proofErr w:type="spellStart"/>
      <w:r>
        <w:rPr>
          <w:rFonts w:ascii="Arial" w:eastAsia="Arial" w:hAnsi="Arial" w:cs="Arial"/>
          <w:sz w:val="18"/>
          <w:szCs w:val="18"/>
        </w:rPr>
        <w:t>may</w:t>
      </w:r>
      <w:proofErr w:type="spellEnd"/>
      <w:r>
        <w:rPr>
          <w:rFonts w:ascii="Arial" w:eastAsia="Arial" w:hAnsi="Arial" w:cs="Arial"/>
          <w:sz w:val="18"/>
          <w:szCs w:val="18"/>
        </w:rPr>
        <w:t xml:space="preserve"> </w:t>
      </w:r>
      <w:proofErr w:type="spellStart"/>
      <w:r>
        <w:rPr>
          <w:rFonts w:ascii="Arial" w:eastAsia="Arial" w:hAnsi="Arial" w:cs="Arial"/>
          <w:sz w:val="18"/>
          <w:szCs w:val="18"/>
        </w:rPr>
        <w:t>be</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near</w:t>
      </w:r>
      <w:proofErr w:type="spellEnd"/>
      <w:r>
        <w:rPr>
          <w:rFonts w:ascii="Arial" w:eastAsia="Arial" w:hAnsi="Arial" w:cs="Arial"/>
          <w:sz w:val="18"/>
          <w:szCs w:val="18"/>
        </w:rPr>
        <w:t xml:space="preserve"> </w:t>
      </w:r>
      <w:proofErr w:type="spellStart"/>
      <w:r>
        <w:rPr>
          <w:rFonts w:ascii="Arial" w:eastAsia="Arial" w:hAnsi="Arial" w:cs="Arial"/>
          <w:sz w:val="18"/>
          <w:szCs w:val="18"/>
        </w:rPr>
        <w:t>absence</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works</w:t>
      </w:r>
      <w:proofErr w:type="spellEnd"/>
      <w:r>
        <w:rPr>
          <w:rFonts w:ascii="Arial" w:eastAsia="Arial" w:hAnsi="Arial" w:cs="Arial"/>
          <w:sz w:val="18"/>
          <w:szCs w:val="18"/>
        </w:rPr>
        <w:t xml:space="preserve"> </w:t>
      </w:r>
      <w:proofErr w:type="spellStart"/>
      <w:r>
        <w:rPr>
          <w:rFonts w:ascii="Arial" w:eastAsia="Arial" w:hAnsi="Arial" w:cs="Arial"/>
          <w:sz w:val="18"/>
          <w:szCs w:val="18"/>
        </w:rPr>
        <w:t>that</w:t>
      </w:r>
      <w:proofErr w:type="spellEnd"/>
      <w:r>
        <w:rPr>
          <w:rFonts w:ascii="Arial" w:eastAsia="Arial" w:hAnsi="Arial" w:cs="Arial"/>
          <w:sz w:val="18"/>
          <w:szCs w:val="18"/>
        </w:rPr>
        <w:t xml:space="preserve"> </w:t>
      </w:r>
      <w:proofErr w:type="spellStart"/>
      <w:r>
        <w:rPr>
          <w:rFonts w:ascii="Arial" w:eastAsia="Arial" w:hAnsi="Arial" w:cs="Arial"/>
          <w:sz w:val="18"/>
          <w:szCs w:val="18"/>
        </w:rPr>
        <w:t>connect</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terms</w:t>
      </w:r>
      <w:proofErr w:type="spellEnd"/>
      <w:r>
        <w:rPr>
          <w:rFonts w:ascii="Arial" w:eastAsia="Arial" w:hAnsi="Arial" w:cs="Arial"/>
          <w:sz w:val="18"/>
          <w:szCs w:val="18"/>
        </w:rPr>
        <w:t xml:space="preserve"> "</w:t>
      </w:r>
      <w:proofErr w:type="spellStart"/>
      <w:r>
        <w:rPr>
          <w:rFonts w:ascii="Arial" w:eastAsia="Arial" w:hAnsi="Arial" w:cs="Arial"/>
          <w:sz w:val="18"/>
          <w:szCs w:val="18"/>
        </w:rPr>
        <w:t>leadership</w:t>
      </w:r>
      <w:proofErr w:type="spellEnd"/>
      <w:r>
        <w:rPr>
          <w:rFonts w:ascii="Arial" w:eastAsia="Arial" w:hAnsi="Arial" w:cs="Arial"/>
          <w:sz w:val="18"/>
          <w:szCs w:val="18"/>
        </w:rPr>
        <w:t>,"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governance</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"TCU." </w:t>
      </w:r>
      <w:proofErr w:type="spellStart"/>
      <w:r>
        <w:rPr>
          <w:rFonts w:ascii="Arial" w:eastAsia="Arial" w:hAnsi="Arial" w:cs="Arial"/>
          <w:sz w:val="18"/>
          <w:szCs w:val="18"/>
        </w:rPr>
        <w:t>This</w:t>
      </w:r>
      <w:proofErr w:type="spellEnd"/>
      <w:r>
        <w:rPr>
          <w:rFonts w:ascii="Arial" w:eastAsia="Arial" w:hAnsi="Arial" w:cs="Arial"/>
          <w:sz w:val="18"/>
          <w:szCs w:val="18"/>
        </w:rPr>
        <w:t xml:space="preserve"> </w:t>
      </w:r>
      <w:proofErr w:type="spellStart"/>
      <w:r>
        <w:rPr>
          <w:rFonts w:ascii="Arial" w:eastAsia="Arial" w:hAnsi="Arial" w:cs="Arial"/>
          <w:sz w:val="18"/>
          <w:szCs w:val="18"/>
        </w:rPr>
        <w:t>fact</w:t>
      </w:r>
      <w:proofErr w:type="spellEnd"/>
      <w:r>
        <w:rPr>
          <w:rFonts w:ascii="Arial" w:eastAsia="Arial" w:hAnsi="Arial" w:cs="Arial"/>
          <w:sz w:val="18"/>
          <w:szCs w:val="18"/>
        </w:rPr>
        <w:t xml:space="preserve"> </w:t>
      </w:r>
      <w:proofErr w:type="spellStart"/>
      <w:r>
        <w:rPr>
          <w:rFonts w:ascii="Arial" w:eastAsia="Arial" w:hAnsi="Arial" w:cs="Arial"/>
          <w:sz w:val="18"/>
          <w:szCs w:val="18"/>
        </w:rPr>
        <w:t>alone</w:t>
      </w:r>
      <w:proofErr w:type="spellEnd"/>
      <w:r>
        <w:rPr>
          <w:rFonts w:ascii="Arial" w:eastAsia="Arial" w:hAnsi="Arial" w:cs="Arial"/>
          <w:sz w:val="18"/>
          <w:szCs w:val="18"/>
        </w:rPr>
        <w:t xml:space="preserve"> </w:t>
      </w:r>
      <w:proofErr w:type="spellStart"/>
      <w:r>
        <w:rPr>
          <w:rFonts w:ascii="Arial" w:eastAsia="Arial" w:hAnsi="Arial" w:cs="Arial"/>
          <w:sz w:val="18"/>
          <w:szCs w:val="18"/>
        </w:rPr>
        <w:t>already</w:t>
      </w:r>
      <w:proofErr w:type="spellEnd"/>
      <w:r>
        <w:rPr>
          <w:rFonts w:ascii="Arial" w:eastAsia="Arial" w:hAnsi="Arial" w:cs="Arial"/>
          <w:sz w:val="18"/>
          <w:szCs w:val="18"/>
        </w:rPr>
        <w:t xml:space="preserve"> points </w:t>
      </w:r>
      <w:proofErr w:type="spellStart"/>
      <w:r>
        <w:rPr>
          <w:rFonts w:ascii="Arial" w:eastAsia="Arial" w:hAnsi="Arial" w:cs="Arial"/>
          <w:sz w:val="18"/>
          <w:szCs w:val="18"/>
        </w:rPr>
        <w:t>to</w:t>
      </w:r>
      <w:proofErr w:type="spellEnd"/>
      <w:r>
        <w:rPr>
          <w:rFonts w:ascii="Arial" w:eastAsia="Arial" w:hAnsi="Arial" w:cs="Arial"/>
          <w:sz w:val="18"/>
          <w:szCs w:val="18"/>
        </w:rPr>
        <w:t xml:space="preserve"> a </w:t>
      </w:r>
      <w:proofErr w:type="spellStart"/>
      <w:r>
        <w:rPr>
          <w:rFonts w:ascii="Arial" w:eastAsia="Arial" w:hAnsi="Arial" w:cs="Arial"/>
          <w:sz w:val="18"/>
          <w:szCs w:val="18"/>
        </w:rPr>
        <w:t>theoretical</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w:t>
      </w:r>
      <w:proofErr w:type="spellStart"/>
      <w:r>
        <w:rPr>
          <w:rFonts w:ascii="Arial" w:eastAsia="Arial" w:hAnsi="Arial" w:cs="Arial"/>
          <w:sz w:val="18"/>
          <w:szCs w:val="18"/>
        </w:rPr>
        <w:t>practical</w:t>
      </w:r>
      <w:proofErr w:type="spellEnd"/>
      <w:r>
        <w:rPr>
          <w:rFonts w:ascii="Arial" w:eastAsia="Arial" w:hAnsi="Arial" w:cs="Arial"/>
          <w:sz w:val="18"/>
          <w:szCs w:val="18"/>
        </w:rPr>
        <w:t xml:space="preserve"> </w:t>
      </w:r>
      <w:proofErr w:type="spellStart"/>
      <w:r>
        <w:rPr>
          <w:rFonts w:ascii="Arial" w:eastAsia="Arial" w:hAnsi="Arial" w:cs="Arial"/>
          <w:sz w:val="18"/>
          <w:szCs w:val="18"/>
        </w:rPr>
        <w:t>fragility</w:t>
      </w:r>
      <w:proofErr w:type="spellEnd"/>
      <w:r>
        <w:rPr>
          <w:rFonts w:ascii="Arial" w:eastAsia="Arial" w:hAnsi="Arial" w:cs="Arial"/>
          <w:sz w:val="18"/>
          <w:szCs w:val="18"/>
        </w:rPr>
        <w:t xml:space="preserve">, </w:t>
      </w:r>
      <w:proofErr w:type="spellStart"/>
      <w:r>
        <w:rPr>
          <w:rFonts w:ascii="Arial" w:eastAsia="Arial" w:hAnsi="Arial" w:cs="Arial"/>
          <w:sz w:val="18"/>
          <w:szCs w:val="18"/>
        </w:rPr>
        <w:t>highlighting</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need</w:t>
      </w:r>
      <w:proofErr w:type="spellEnd"/>
      <w:r>
        <w:rPr>
          <w:rFonts w:ascii="Arial" w:eastAsia="Arial" w:hAnsi="Arial" w:cs="Arial"/>
          <w:sz w:val="18"/>
          <w:szCs w:val="18"/>
        </w:rPr>
        <w:t xml:space="preserve"> for new </w:t>
      </w:r>
      <w:proofErr w:type="spellStart"/>
      <w:r>
        <w:rPr>
          <w:rFonts w:ascii="Arial" w:eastAsia="Arial" w:hAnsi="Arial" w:cs="Arial"/>
          <w:sz w:val="18"/>
          <w:szCs w:val="18"/>
        </w:rPr>
        <w:t>studies</w:t>
      </w:r>
      <w:proofErr w:type="spellEnd"/>
      <w:r>
        <w:rPr>
          <w:rFonts w:ascii="Arial" w:eastAsia="Arial" w:hAnsi="Arial" w:cs="Arial"/>
          <w:sz w:val="18"/>
          <w:szCs w:val="18"/>
        </w:rPr>
        <w:t xml:space="preserve"> </w:t>
      </w:r>
      <w:proofErr w:type="spellStart"/>
      <w:r>
        <w:rPr>
          <w:rFonts w:ascii="Arial" w:eastAsia="Arial" w:hAnsi="Arial" w:cs="Arial"/>
          <w:sz w:val="18"/>
          <w:szCs w:val="18"/>
        </w:rPr>
        <w:t>capable</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bringing</w:t>
      </w:r>
      <w:proofErr w:type="spellEnd"/>
      <w:r>
        <w:rPr>
          <w:rFonts w:ascii="Arial" w:eastAsia="Arial" w:hAnsi="Arial" w:cs="Arial"/>
          <w:sz w:val="18"/>
          <w:szCs w:val="18"/>
        </w:rPr>
        <w:t xml:space="preserve"> </w:t>
      </w:r>
      <w:proofErr w:type="spellStart"/>
      <w:r>
        <w:rPr>
          <w:rFonts w:ascii="Arial" w:eastAsia="Arial" w:hAnsi="Arial" w:cs="Arial"/>
          <w:sz w:val="18"/>
          <w:szCs w:val="18"/>
        </w:rPr>
        <w:t>these</w:t>
      </w:r>
      <w:proofErr w:type="spellEnd"/>
      <w:r>
        <w:rPr>
          <w:rFonts w:ascii="Arial" w:eastAsia="Arial" w:hAnsi="Arial" w:cs="Arial"/>
          <w:sz w:val="18"/>
          <w:szCs w:val="18"/>
        </w:rPr>
        <w:t xml:space="preserve"> </w:t>
      </w:r>
      <w:proofErr w:type="spellStart"/>
      <w:r>
        <w:rPr>
          <w:rFonts w:ascii="Arial" w:eastAsia="Arial" w:hAnsi="Arial" w:cs="Arial"/>
          <w:sz w:val="18"/>
          <w:szCs w:val="18"/>
        </w:rPr>
        <w:t>concepts</w:t>
      </w:r>
      <w:proofErr w:type="spellEnd"/>
      <w:r>
        <w:rPr>
          <w:rFonts w:ascii="Arial" w:eastAsia="Arial" w:hAnsi="Arial" w:cs="Arial"/>
          <w:sz w:val="18"/>
          <w:szCs w:val="18"/>
        </w:rPr>
        <w:t xml:space="preserve"> </w:t>
      </w:r>
      <w:proofErr w:type="spellStart"/>
      <w:r>
        <w:rPr>
          <w:rFonts w:ascii="Arial" w:eastAsia="Arial" w:hAnsi="Arial" w:cs="Arial"/>
          <w:sz w:val="18"/>
          <w:szCs w:val="18"/>
        </w:rPr>
        <w:t>together</w:t>
      </w:r>
      <w:proofErr w:type="spellEnd"/>
      <w:r>
        <w:rPr>
          <w:rFonts w:ascii="Arial" w:eastAsia="Arial" w:hAnsi="Arial" w:cs="Arial"/>
          <w:sz w:val="18"/>
          <w:szCs w:val="18"/>
        </w:rPr>
        <w:t xml:space="preserve"> in a more </w:t>
      </w:r>
      <w:proofErr w:type="spellStart"/>
      <w:r>
        <w:rPr>
          <w:rFonts w:ascii="Arial" w:eastAsia="Arial" w:hAnsi="Arial" w:cs="Arial"/>
          <w:sz w:val="18"/>
          <w:szCs w:val="18"/>
        </w:rPr>
        <w:t>robust</w:t>
      </w:r>
      <w:proofErr w:type="spellEnd"/>
      <w:r>
        <w:rPr>
          <w:rFonts w:ascii="Arial" w:eastAsia="Arial" w:hAnsi="Arial" w:cs="Arial"/>
          <w:sz w:val="18"/>
          <w:szCs w:val="18"/>
        </w:rPr>
        <w:t xml:space="preserve"> </w:t>
      </w:r>
      <w:proofErr w:type="spellStart"/>
      <w:r>
        <w:rPr>
          <w:rFonts w:ascii="Arial" w:eastAsia="Arial" w:hAnsi="Arial" w:cs="Arial"/>
          <w:sz w:val="18"/>
          <w:szCs w:val="18"/>
        </w:rPr>
        <w:t>way</w:t>
      </w:r>
      <w:proofErr w:type="spellEnd"/>
      <w:r>
        <w:rPr>
          <w:rFonts w:ascii="Arial" w:eastAsia="Arial" w:hAnsi="Arial" w:cs="Arial"/>
          <w:sz w:val="18"/>
          <w:szCs w:val="18"/>
        </w:rPr>
        <w:t>.</w:t>
      </w:r>
    </w:p>
    <w:p w14:paraId="56347F4E" w14:textId="77777777" w:rsidR="003A2854" w:rsidRDefault="00000000">
      <w:pPr>
        <w:jc w:val="both"/>
        <w:rPr>
          <w:rFonts w:ascii="Arial" w:eastAsia="Arial" w:hAnsi="Arial" w:cs="Arial"/>
          <w:sz w:val="18"/>
          <w:szCs w:val="18"/>
        </w:rPr>
      </w:pPr>
      <w:r>
        <w:rPr>
          <w:rFonts w:ascii="Arial" w:eastAsia="Arial" w:hAnsi="Arial" w:cs="Arial"/>
          <w:b/>
          <w:sz w:val="18"/>
          <w:szCs w:val="18"/>
        </w:rPr>
        <w:t>Keywords:</w:t>
      </w:r>
      <w:r>
        <w:rPr>
          <w:rFonts w:ascii="Arial" w:eastAsia="Arial" w:hAnsi="Arial" w:cs="Arial"/>
          <w:sz w:val="18"/>
          <w:szCs w:val="18"/>
        </w:rPr>
        <w:t xml:space="preserve">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governance</w:t>
      </w:r>
      <w:proofErr w:type="spellEnd"/>
      <w:r>
        <w:rPr>
          <w:rFonts w:ascii="Arial" w:eastAsia="Arial" w:hAnsi="Arial" w:cs="Arial"/>
          <w:sz w:val="18"/>
          <w:szCs w:val="18"/>
        </w:rPr>
        <w:t xml:space="preserve">;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university</w:t>
      </w:r>
      <w:proofErr w:type="spellEnd"/>
      <w:r>
        <w:rPr>
          <w:rFonts w:ascii="Arial" w:eastAsia="Arial" w:hAnsi="Arial" w:cs="Arial"/>
          <w:sz w:val="18"/>
          <w:szCs w:val="18"/>
        </w:rPr>
        <w:t xml:space="preserve">; </w:t>
      </w:r>
      <w:proofErr w:type="spellStart"/>
      <w:r>
        <w:rPr>
          <w:rFonts w:ascii="Arial" w:eastAsia="Arial" w:hAnsi="Arial" w:cs="Arial"/>
          <w:sz w:val="18"/>
          <w:szCs w:val="18"/>
        </w:rPr>
        <w:t>Leadership</w:t>
      </w:r>
      <w:proofErr w:type="spellEnd"/>
      <w:r>
        <w:rPr>
          <w:rFonts w:ascii="Arial" w:eastAsia="Arial" w:hAnsi="Arial" w:cs="Arial"/>
          <w:sz w:val="18"/>
          <w:szCs w:val="18"/>
        </w:rPr>
        <w:t>.</w:t>
      </w:r>
    </w:p>
    <w:p w14:paraId="3704C647" w14:textId="77777777" w:rsidR="003A2854" w:rsidRDefault="003A2854">
      <w:pPr>
        <w:pBdr>
          <w:top w:val="single" w:sz="4" w:space="1" w:color="000000"/>
          <w:left w:val="nil"/>
          <w:bottom w:val="nil"/>
          <w:right w:val="nil"/>
          <w:between w:val="nil"/>
        </w:pBdr>
        <w:spacing w:before="480" w:after="0" w:line="276" w:lineRule="auto"/>
        <w:jc w:val="both"/>
        <w:rPr>
          <w:rFonts w:ascii="Bahnschrift Condensed" w:eastAsia="Bahnschrift Condensed" w:hAnsi="Bahnschrift Condensed" w:cs="Bahnschrift Condensed"/>
          <w:b/>
          <w:color w:val="000000"/>
          <w:sz w:val="32"/>
          <w:szCs w:val="32"/>
        </w:rPr>
      </w:pPr>
      <w:bookmarkStart w:id="4" w:name="_lqxd0rmtgw1l" w:colFirst="0" w:colLast="0"/>
      <w:bookmarkEnd w:id="4"/>
    </w:p>
    <w:p w14:paraId="4D375DB2" w14:textId="77777777" w:rsidR="003A2854" w:rsidRDefault="00000000">
      <w:pPr>
        <w:jc w:val="both"/>
        <w:rPr>
          <w:rFonts w:ascii="Arial" w:eastAsia="Arial" w:hAnsi="Arial" w:cs="Arial"/>
          <w:sz w:val="18"/>
          <w:szCs w:val="18"/>
        </w:rPr>
      </w:pPr>
      <w:r>
        <w:rPr>
          <w:rFonts w:ascii="Bahnschrift Condensed" w:eastAsia="Bahnschrift Condensed" w:hAnsi="Bahnschrift Condensed" w:cs="Bahnschrift Condensed"/>
          <w:sz w:val="32"/>
          <w:szCs w:val="32"/>
        </w:rPr>
        <w:t>RESUMEN:</w:t>
      </w:r>
      <w:r>
        <w:br/>
      </w:r>
      <w:r>
        <w:rPr>
          <w:rFonts w:ascii="Arial" w:eastAsia="Arial" w:hAnsi="Arial" w:cs="Arial"/>
          <w:sz w:val="18"/>
          <w:szCs w:val="18"/>
        </w:rPr>
        <w:t xml:space="preserve">Este artículo parte de una </w:t>
      </w:r>
      <w:proofErr w:type="spellStart"/>
      <w:r>
        <w:rPr>
          <w:rFonts w:ascii="Arial" w:eastAsia="Arial" w:hAnsi="Arial" w:cs="Arial"/>
          <w:sz w:val="18"/>
          <w:szCs w:val="18"/>
        </w:rPr>
        <w:t>inquietud</w:t>
      </w:r>
      <w:proofErr w:type="spellEnd"/>
      <w:r>
        <w:rPr>
          <w:rFonts w:ascii="Arial" w:eastAsia="Arial" w:hAnsi="Arial" w:cs="Arial"/>
          <w:sz w:val="18"/>
          <w:szCs w:val="18"/>
        </w:rPr>
        <w:t xml:space="preserve">: ¿por </w:t>
      </w:r>
      <w:proofErr w:type="spellStart"/>
      <w:r>
        <w:rPr>
          <w:rFonts w:ascii="Arial" w:eastAsia="Arial" w:hAnsi="Arial" w:cs="Arial"/>
          <w:sz w:val="18"/>
          <w:szCs w:val="18"/>
        </w:rPr>
        <w:t>qué</w:t>
      </w:r>
      <w:proofErr w:type="spellEnd"/>
      <w:r>
        <w:rPr>
          <w:rFonts w:ascii="Arial" w:eastAsia="Arial" w:hAnsi="Arial" w:cs="Arial"/>
          <w:sz w:val="18"/>
          <w:szCs w:val="18"/>
        </w:rPr>
        <w:t xml:space="preserve"> </w:t>
      </w:r>
      <w:proofErr w:type="spellStart"/>
      <w:r>
        <w:rPr>
          <w:rFonts w:ascii="Arial" w:eastAsia="Arial" w:hAnsi="Arial" w:cs="Arial"/>
          <w:sz w:val="18"/>
          <w:szCs w:val="18"/>
        </w:rPr>
        <w:t>el</w:t>
      </w:r>
      <w:proofErr w:type="spellEnd"/>
      <w:r>
        <w:rPr>
          <w:rFonts w:ascii="Arial" w:eastAsia="Arial" w:hAnsi="Arial" w:cs="Arial"/>
          <w:sz w:val="18"/>
          <w:szCs w:val="18"/>
        </w:rPr>
        <w:t xml:space="preserve"> </w:t>
      </w:r>
      <w:proofErr w:type="spellStart"/>
      <w:r>
        <w:rPr>
          <w:rFonts w:ascii="Arial" w:eastAsia="Arial" w:hAnsi="Arial" w:cs="Arial"/>
          <w:sz w:val="18"/>
          <w:szCs w:val="18"/>
        </w:rPr>
        <w:t>liderazgo</w:t>
      </w:r>
      <w:proofErr w:type="spellEnd"/>
      <w:r>
        <w:rPr>
          <w:rFonts w:ascii="Arial" w:eastAsia="Arial" w:hAnsi="Arial" w:cs="Arial"/>
          <w:sz w:val="18"/>
          <w:szCs w:val="18"/>
        </w:rPr>
        <w:t xml:space="preserve">, </w:t>
      </w:r>
      <w:proofErr w:type="spellStart"/>
      <w:r>
        <w:rPr>
          <w:rFonts w:ascii="Arial" w:eastAsia="Arial" w:hAnsi="Arial" w:cs="Arial"/>
          <w:sz w:val="18"/>
          <w:szCs w:val="18"/>
        </w:rPr>
        <w:t>siendo</w:t>
      </w:r>
      <w:proofErr w:type="spellEnd"/>
      <w:r>
        <w:rPr>
          <w:rFonts w:ascii="Arial" w:eastAsia="Arial" w:hAnsi="Arial" w:cs="Arial"/>
          <w:sz w:val="18"/>
          <w:szCs w:val="18"/>
        </w:rPr>
        <w:t xml:space="preserve"> uno de </w:t>
      </w:r>
      <w:proofErr w:type="spellStart"/>
      <w:r>
        <w:rPr>
          <w:rFonts w:ascii="Arial" w:eastAsia="Arial" w:hAnsi="Arial" w:cs="Arial"/>
          <w:sz w:val="18"/>
          <w:szCs w:val="18"/>
        </w:rPr>
        <w:t>los</w:t>
      </w:r>
      <w:proofErr w:type="spellEnd"/>
      <w:r>
        <w:rPr>
          <w:rFonts w:ascii="Arial" w:eastAsia="Arial" w:hAnsi="Arial" w:cs="Arial"/>
          <w:sz w:val="18"/>
          <w:szCs w:val="18"/>
        </w:rPr>
        <w:t xml:space="preserve"> </w:t>
      </w:r>
      <w:proofErr w:type="gramStart"/>
      <w:r>
        <w:rPr>
          <w:rFonts w:ascii="Arial" w:eastAsia="Arial" w:hAnsi="Arial" w:cs="Arial"/>
          <w:sz w:val="18"/>
          <w:szCs w:val="18"/>
        </w:rPr>
        <w:t>mecanismos más</w:t>
      </w:r>
      <w:proofErr w:type="gramEnd"/>
      <w:r>
        <w:rPr>
          <w:rFonts w:ascii="Arial" w:eastAsia="Arial" w:hAnsi="Arial" w:cs="Arial"/>
          <w:sz w:val="18"/>
          <w:szCs w:val="18"/>
        </w:rPr>
        <w:t xml:space="preserve"> </w:t>
      </w:r>
      <w:proofErr w:type="spellStart"/>
      <w:r>
        <w:rPr>
          <w:rFonts w:ascii="Arial" w:eastAsia="Arial" w:hAnsi="Arial" w:cs="Arial"/>
          <w:sz w:val="18"/>
          <w:szCs w:val="18"/>
        </w:rPr>
        <w:t>señalados</w:t>
      </w:r>
      <w:proofErr w:type="spellEnd"/>
      <w:r>
        <w:rPr>
          <w:rFonts w:ascii="Arial" w:eastAsia="Arial" w:hAnsi="Arial" w:cs="Arial"/>
          <w:sz w:val="18"/>
          <w:szCs w:val="18"/>
        </w:rPr>
        <w:t xml:space="preserve"> de </w:t>
      </w:r>
      <w:proofErr w:type="spellStart"/>
      <w:r>
        <w:rPr>
          <w:rFonts w:ascii="Arial" w:eastAsia="Arial" w:hAnsi="Arial" w:cs="Arial"/>
          <w:sz w:val="18"/>
          <w:szCs w:val="18"/>
        </w:rPr>
        <w:t>la</w:t>
      </w:r>
      <w:proofErr w:type="spellEnd"/>
      <w:r>
        <w:rPr>
          <w:rFonts w:ascii="Arial" w:eastAsia="Arial" w:hAnsi="Arial" w:cs="Arial"/>
          <w:sz w:val="18"/>
          <w:szCs w:val="18"/>
        </w:rPr>
        <w:t xml:space="preserve"> </w:t>
      </w:r>
      <w:proofErr w:type="spellStart"/>
      <w:r>
        <w:rPr>
          <w:rFonts w:ascii="Arial" w:eastAsia="Arial" w:hAnsi="Arial" w:cs="Arial"/>
          <w:sz w:val="18"/>
          <w:szCs w:val="18"/>
        </w:rPr>
        <w:t>gobernanza</w:t>
      </w:r>
      <w:proofErr w:type="spellEnd"/>
      <w:r>
        <w:rPr>
          <w:rFonts w:ascii="Arial" w:eastAsia="Arial" w:hAnsi="Arial" w:cs="Arial"/>
          <w:sz w:val="18"/>
          <w:szCs w:val="18"/>
        </w:rPr>
        <w:t xml:space="preserve"> pública, </w:t>
      </w:r>
      <w:proofErr w:type="spellStart"/>
      <w:r>
        <w:rPr>
          <w:rFonts w:ascii="Arial" w:eastAsia="Arial" w:hAnsi="Arial" w:cs="Arial"/>
          <w:sz w:val="18"/>
          <w:szCs w:val="18"/>
        </w:rPr>
        <w:t>aún</w:t>
      </w:r>
      <w:proofErr w:type="spellEnd"/>
      <w:r>
        <w:rPr>
          <w:rFonts w:ascii="Arial" w:eastAsia="Arial" w:hAnsi="Arial" w:cs="Arial"/>
          <w:sz w:val="18"/>
          <w:szCs w:val="18"/>
        </w:rPr>
        <w:t xml:space="preserve"> aparece de forma </w:t>
      </w:r>
      <w:proofErr w:type="spellStart"/>
      <w:r>
        <w:rPr>
          <w:rFonts w:ascii="Arial" w:eastAsia="Arial" w:hAnsi="Arial" w:cs="Arial"/>
          <w:sz w:val="18"/>
          <w:szCs w:val="18"/>
        </w:rPr>
        <w:t>tan</w:t>
      </w:r>
      <w:proofErr w:type="spellEnd"/>
      <w:r>
        <w:rPr>
          <w:rFonts w:ascii="Arial" w:eastAsia="Arial" w:hAnsi="Arial" w:cs="Arial"/>
          <w:sz w:val="18"/>
          <w:szCs w:val="18"/>
        </w:rPr>
        <w:t xml:space="preserve"> poco </w:t>
      </w:r>
      <w:proofErr w:type="spellStart"/>
      <w:r>
        <w:rPr>
          <w:rFonts w:ascii="Arial" w:eastAsia="Arial" w:hAnsi="Arial" w:cs="Arial"/>
          <w:sz w:val="18"/>
          <w:szCs w:val="18"/>
        </w:rPr>
        <w:t>expresiva</w:t>
      </w:r>
      <w:proofErr w:type="spellEnd"/>
      <w:r>
        <w:rPr>
          <w:rFonts w:ascii="Arial" w:eastAsia="Arial" w:hAnsi="Arial" w:cs="Arial"/>
          <w:sz w:val="18"/>
          <w:szCs w:val="18"/>
        </w:rPr>
        <w:t xml:space="preserve"> </w:t>
      </w:r>
      <w:proofErr w:type="spellStart"/>
      <w:r>
        <w:rPr>
          <w:rFonts w:ascii="Arial" w:eastAsia="Arial" w:hAnsi="Arial" w:cs="Arial"/>
          <w:sz w:val="18"/>
          <w:szCs w:val="18"/>
        </w:rPr>
        <w:t>en</w:t>
      </w:r>
      <w:proofErr w:type="spellEnd"/>
      <w:r>
        <w:rPr>
          <w:rFonts w:ascii="Arial" w:eastAsia="Arial" w:hAnsi="Arial" w:cs="Arial"/>
          <w:sz w:val="18"/>
          <w:szCs w:val="18"/>
        </w:rPr>
        <w:t xml:space="preserve"> </w:t>
      </w:r>
      <w:proofErr w:type="spellStart"/>
      <w:r>
        <w:rPr>
          <w:rFonts w:ascii="Arial" w:eastAsia="Arial" w:hAnsi="Arial" w:cs="Arial"/>
          <w:sz w:val="18"/>
          <w:szCs w:val="18"/>
        </w:rPr>
        <w:t>las</w:t>
      </w:r>
      <w:proofErr w:type="spellEnd"/>
      <w:r>
        <w:rPr>
          <w:rFonts w:ascii="Arial" w:eastAsia="Arial" w:hAnsi="Arial" w:cs="Arial"/>
          <w:sz w:val="18"/>
          <w:szCs w:val="18"/>
        </w:rPr>
        <w:t xml:space="preserve"> </w:t>
      </w:r>
      <w:proofErr w:type="spellStart"/>
      <w:r>
        <w:rPr>
          <w:rFonts w:ascii="Arial" w:eastAsia="Arial" w:hAnsi="Arial" w:cs="Arial"/>
          <w:sz w:val="18"/>
          <w:szCs w:val="18"/>
        </w:rPr>
        <w:t>investigaciones</w:t>
      </w:r>
      <w:proofErr w:type="spellEnd"/>
      <w:r>
        <w:rPr>
          <w:rFonts w:ascii="Arial" w:eastAsia="Arial" w:hAnsi="Arial" w:cs="Arial"/>
          <w:sz w:val="18"/>
          <w:szCs w:val="18"/>
        </w:rPr>
        <w:t xml:space="preserve"> centradas </w:t>
      </w:r>
      <w:proofErr w:type="spellStart"/>
      <w:r>
        <w:rPr>
          <w:rFonts w:ascii="Arial" w:eastAsia="Arial" w:hAnsi="Arial" w:cs="Arial"/>
          <w:sz w:val="18"/>
          <w:szCs w:val="18"/>
        </w:rPr>
        <w:t>en</w:t>
      </w:r>
      <w:proofErr w:type="spellEnd"/>
      <w:r>
        <w:rPr>
          <w:rFonts w:ascii="Arial" w:eastAsia="Arial" w:hAnsi="Arial" w:cs="Arial"/>
          <w:sz w:val="18"/>
          <w:szCs w:val="18"/>
        </w:rPr>
        <w:t xml:space="preserve"> </w:t>
      </w:r>
      <w:proofErr w:type="spellStart"/>
      <w:r>
        <w:rPr>
          <w:rFonts w:ascii="Arial" w:eastAsia="Arial" w:hAnsi="Arial" w:cs="Arial"/>
          <w:sz w:val="18"/>
          <w:szCs w:val="18"/>
        </w:rPr>
        <w:t>las</w:t>
      </w:r>
      <w:proofErr w:type="spellEnd"/>
      <w:r>
        <w:rPr>
          <w:rFonts w:ascii="Arial" w:eastAsia="Arial" w:hAnsi="Arial" w:cs="Arial"/>
          <w:sz w:val="18"/>
          <w:szCs w:val="18"/>
        </w:rPr>
        <w:t xml:space="preserve"> universidades públicas? La </w:t>
      </w:r>
      <w:proofErr w:type="spellStart"/>
      <w:r>
        <w:rPr>
          <w:rFonts w:ascii="Arial" w:eastAsia="Arial" w:hAnsi="Arial" w:cs="Arial"/>
          <w:sz w:val="18"/>
          <w:szCs w:val="18"/>
        </w:rPr>
        <w:t>propuesta</w:t>
      </w:r>
      <w:proofErr w:type="spellEnd"/>
      <w:r>
        <w:rPr>
          <w:rFonts w:ascii="Arial" w:eastAsia="Arial" w:hAnsi="Arial" w:cs="Arial"/>
          <w:sz w:val="18"/>
          <w:szCs w:val="18"/>
        </w:rPr>
        <w:t xml:space="preserve"> </w:t>
      </w:r>
      <w:proofErr w:type="spellStart"/>
      <w:r>
        <w:rPr>
          <w:rFonts w:ascii="Arial" w:eastAsia="Arial" w:hAnsi="Arial" w:cs="Arial"/>
          <w:sz w:val="18"/>
          <w:szCs w:val="18"/>
        </w:rPr>
        <w:t>aquí</w:t>
      </w:r>
      <w:proofErr w:type="spellEnd"/>
      <w:r>
        <w:rPr>
          <w:rFonts w:ascii="Arial" w:eastAsia="Arial" w:hAnsi="Arial" w:cs="Arial"/>
          <w:sz w:val="18"/>
          <w:szCs w:val="18"/>
        </w:rPr>
        <w:t xml:space="preserve"> es precisamente observar esta laguna, a partir de </w:t>
      </w:r>
      <w:proofErr w:type="spellStart"/>
      <w:r>
        <w:rPr>
          <w:rFonts w:ascii="Arial" w:eastAsia="Arial" w:hAnsi="Arial" w:cs="Arial"/>
          <w:sz w:val="18"/>
          <w:szCs w:val="18"/>
        </w:rPr>
        <w:t>las</w:t>
      </w:r>
      <w:proofErr w:type="spellEnd"/>
      <w:r>
        <w:rPr>
          <w:rFonts w:ascii="Arial" w:eastAsia="Arial" w:hAnsi="Arial" w:cs="Arial"/>
          <w:sz w:val="18"/>
          <w:szCs w:val="18"/>
        </w:rPr>
        <w:t xml:space="preserve"> </w:t>
      </w:r>
      <w:proofErr w:type="spellStart"/>
      <w:r>
        <w:rPr>
          <w:rFonts w:ascii="Arial" w:eastAsia="Arial" w:hAnsi="Arial" w:cs="Arial"/>
          <w:sz w:val="18"/>
          <w:szCs w:val="18"/>
        </w:rPr>
        <w:t>orientaciones</w:t>
      </w:r>
      <w:proofErr w:type="spellEnd"/>
      <w:r>
        <w:rPr>
          <w:rFonts w:ascii="Arial" w:eastAsia="Arial" w:hAnsi="Arial" w:cs="Arial"/>
          <w:sz w:val="18"/>
          <w:szCs w:val="18"/>
        </w:rPr>
        <w:t xml:space="preserve"> </w:t>
      </w:r>
      <w:proofErr w:type="spellStart"/>
      <w:r>
        <w:rPr>
          <w:rFonts w:ascii="Arial" w:eastAsia="Arial" w:hAnsi="Arial" w:cs="Arial"/>
          <w:sz w:val="18"/>
          <w:szCs w:val="18"/>
        </w:rPr>
        <w:t>del</w:t>
      </w:r>
      <w:proofErr w:type="spellEnd"/>
      <w:r>
        <w:rPr>
          <w:rFonts w:ascii="Arial" w:eastAsia="Arial" w:hAnsi="Arial" w:cs="Arial"/>
          <w:sz w:val="18"/>
          <w:szCs w:val="18"/>
        </w:rPr>
        <w:t xml:space="preserve"> Tribunal de </w:t>
      </w:r>
      <w:proofErr w:type="spellStart"/>
      <w:r>
        <w:rPr>
          <w:rFonts w:ascii="Arial" w:eastAsia="Arial" w:hAnsi="Arial" w:cs="Arial"/>
          <w:sz w:val="18"/>
          <w:szCs w:val="18"/>
        </w:rPr>
        <w:t>Cuentas</w:t>
      </w:r>
      <w:proofErr w:type="spellEnd"/>
      <w:r>
        <w:rPr>
          <w:rFonts w:ascii="Arial" w:eastAsia="Arial" w:hAnsi="Arial" w:cs="Arial"/>
          <w:sz w:val="18"/>
          <w:szCs w:val="18"/>
        </w:rPr>
        <w:t xml:space="preserve"> de </w:t>
      </w:r>
      <w:proofErr w:type="spellStart"/>
      <w:r>
        <w:rPr>
          <w:rFonts w:ascii="Arial" w:eastAsia="Arial" w:hAnsi="Arial" w:cs="Arial"/>
          <w:sz w:val="18"/>
          <w:szCs w:val="18"/>
        </w:rPr>
        <w:t>la</w:t>
      </w:r>
      <w:proofErr w:type="spellEnd"/>
      <w:r>
        <w:rPr>
          <w:rFonts w:ascii="Arial" w:eastAsia="Arial" w:hAnsi="Arial" w:cs="Arial"/>
          <w:sz w:val="18"/>
          <w:szCs w:val="18"/>
        </w:rPr>
        <w:t xml:space="preserve"> Unión (TCU) de Brasil. La </w:t>
      </w:r>
      <w:proofErr w:type="spellStart"/>
      <w:r>
        <w:rPr>
          <w:rFonts w:ascii="Arial" w:eastAsia="Arial" w:hAnsi="Arial" w:cs="Arial"/>
          <w:sz w:val="18"/>
          <w:szCs w:val="18"/>
        </w:rPr>
        <w:t>metodología</w:t>
      </w:r>
      <w:proofErr w:type="spellEnd"/>
      <w:r>
        <w:rPr>
          <w:rFonts w:ascii="Arial" w:eastAsia="Arial" w:hAnsi="Arial" w:cs="Arial"/>
          <w:sz w:val="18"/>
          <w:szCs w:val="18"/>
        </w:rPr>
        <w:t xml:space="preserve"> adoptada articula una </w:t>
      </w:r>
      <w:proofErr w:type="spellStart"/>
      <w:r>
        <w:rPr>
          <w:rFonts w:ascii="Arial" w:eastAsia="Arial" w:hAnsi="Arial" w:cs="Arial"/>
          <w:sz w:val="18"/>
          <w:szCs w:val="18"/>
        </w:rPr>
        <w:t>revisión</w:t>
      </w:r>
      <w:proofErr w:type="spellEnd"/>
      <w:r>
        <w:rPr>
          <w:rFonts w:ascii="Arial" w:eastAsia="Arial" w:hAnsi="Arial" w:cs="Arial"/>
          <w:sz w:val="18"/>
          <w:szCs w:val="18"/>
        </w:rPr>
        <w:t xml:space="preserve"> sistemática de </w:t>
      </w:r>
      <w:proofErr w:type="spellStart"/>
      <w:r>
        <w:rPr>
          <w:rFonts w:ascii="Arial" w:eastAsia="Arial" w:hAnsi="Arial" w:cs="Arial"/>
          <w:sz w:val="18"/>
          <w:szCs w:val="18"/>
        </w:rPr>
        <w:t>la</w:t>
      </w:r>
      <w:proofErr w:type="spellEnd"/>
      <w:r>
        <w:rPr>
          <w:rFonts w:ascii="Arial" w:eastAsia="Arial" w:hAnsi="Arial" w:cs="Arial"/>
          <w:sz w:val="18"/>
          <w:szCs w:val="18"/>
        </w:rPr>
        <w:t xml:space="preserve"> literatura </w:t>
      </w:r>
      <w:proofErr w:type="spellStart"/>
      <w:r>
        <w:rPr>
          <w:rFonts w:ascii="Arial" w:eastAsia="Arial" w:hAnsi="Arial" w:cs="Arial"/>
          <w:sz w:val="18"/>
          <w:szCs w:val="18"/>
        </w:rPr>
        <w:t>con</w:t>
      </w:r>
      <w:proofErr w:type="spellEnd"/>
      <w:r>
        <w:rPr>
          <w:rFonts w:ascii="Arial" w:eastAsia="Arial" w:hAnsi="Arial" w:cs="Arial"/>
          <w:sz w:val="18"/>
          <w:szCs w:val="18"/>
        </w:rPr>
        <w:t xml:space="preserve"> </w:t>
      </w:r>
      <w:proofErr w:type="spellStart"/>
      <w:r>
        <w:rPr>
          <w:rFonts w:ascii="Arial" w:eastAsia="Arial" w:hAnsi="Arial" w:cs="Arial"/>
          <w:sz w:val="18"/>
          <w:szCs w:val="18"/>
        </w:rPr>
        <w:t>un</w:t>
      </w:r>
      <w:proofErr w:type="spellEnd"/>
      <w:r>
        <w:rPr>
          <w:rFonts w:ascii="Arial" w:eastAsia="Arial" w:hAnsi="Arial" w:cs="Arial"/>
          <w:sz w:val="18"/>
          <w:szCs w:val="18"/>
        </w:rPr>
        <w:t xml:space="preserve"> </w:t>
      </w:r>
      <w:proofErr w:type="spellStart"/>
      <w:r>
        <w:rPr>
          <w:rFonts w:ascii="Arial" w:eastAsia="Arial" w:hAnsi="Arial" w:cs="Arial"/>
          <w:sz w:val="18"/>
          <w:szCs w:val="18"/>
        </w:rPr>
        <w:t>análisis</w:t>
      </w:r>
      <w:proofErr w:type="spellEnd"/>
      <w:r>
        <w:rPr>
          <w:rFonts w:ascii="Arial" w:eastAsia="Arial" w:hAnsi="Arial" w:cs="Arial"/>
          <w:sz w:val="18"/>
          <w:szCs w:val="18"/>
        </w:rPr>
        <w:t xml:space="preserve"> bibliométrico—y </w:t>
      </w:r>
      <w:proofErr w:type="spellStart"/>
      <w:r>
        <w:rPr>
          <w:rFonts w:ascii="Arial" w:eastAsia="Arial" w:hAnsi="Arial" w:cs="Arial"/>
          <w:sz w:val="18"/>
          <w:szCs w:val="18"/>
        </w:rPr>
        <w:t>sí</w:t>
      </w:r>
      <w:proofErr w:type="spellEnd"/>
      <w:r>
        <w:rPr>
          <w:rFonts w:ascii="Arial" w:eastAsia="Arial" w:hAnsi="Arial" w:cs="Arial"/>
          <w:sz w:val="18"/>
          <w:szCs w:val="18"/>
        </w:rPr>
        <w:t xml:space="preserve">, </w:t>
      </w:r>
      <w:proofErr w:type="spellStart"/>
      <w:r>
        <w:rPr>
          <w:rFonts w:ascii="Arial" w:eastAsia="Arial" w:hAnsi="Arial" w:cs="Arial"/>
          <w:sz w:val="18"/>
          <w:szCs w:val="18"/>
        </w:rPr>
        <w:t>con</w:t>
      </w:r>
      <w:proofErr w:type="spellEnd"/>
      <w:r>
        <w:rPr>
          <w:rFonts w:ascii="Arial" w:eastAsia="Arial" w:hAnsi="Arial" w:cs="Arial"/>
          <w:sz w:val="18"/>
          <w:szCs w:val="18"/>
        </w:rPr>
        <w:t xml:space="preserve"> una </w:t>
      </w:r>
      <w:proofErr w:type="spellStart"/>
      <w:r>
        <w:rPr>
          <w:rFonts w:ascii="Arial" w:eastAsia="Arial" w:hAnsi="Arial" w:cs="Arial"/>
          <w:sz w:val="18"/>
          <w:szCs w:val="18"/>
        </w:rPr>
        <w:t>dosis</w:t>
      </w:r>
      <w:proofErr w:type="spellEnd"/>
      <w:r>
        <w:rPr>
          <w:rFonts w:ascii="Arial" w:eastAsia="Arial" w:hAnsi="Arial" w:cs="Arial"/>
          <w:sz w:val="18"/>
          <w:szCs w:val="18"/>
        </w:rPr>
        <w:t xml:space="preserve"> de </w:t>
      </w:r>
      <w:proofErr w:type="spellStart"/>
      <w:r>
        <w:rPr>
          <w:rFonts w:ascii="Arial" w:eastAsia="Arial" w:hAnsi="Arial" w:cs="Arial"/>
          <w:sz w:val="18"/>
          <w:szCs w:val="18"/>
        </w:rPr>
        <w:t>paciencia</w:t>
      </w:r>
      <w:proofErr w:type="spellEnd"/>
      <w:r>
        <w:rPr>
          <w:rFonts w:ascii="Arial" w:eastAsia="Arial" w:hAnsi="Arial" w:cs="Arial"/>
          <w:sz w:val="18"/>
          <w:szCs w:val="18"/>
        </w:rPr>
        <w:t xml:space="preserve">, se </w:t>
      </w:r>
      <w:proofErr w:type="spellStart"/>
      <w:r>
        <w:rPr>
          <w:rFonts w:ascii="Arial" w:eastAsia="Arial" w:hAnsi="Arial" w:cs="Arial"/>
          <w:sz w:val="18"/>
          <w:szCs w:val="18"/>
        </w:rPr>
        <w:t>investigaron</w:t>
      </w:r>
      <w:proofErr w:type="spellEnd"/>
      <w:r>
        <w:rPr>
          <w:rFonts w:ascii="Arial" w:eastAsia="Arial" w:hAnsi="Arial" w:cs="Arial"/>
          <w:sz w:val="18"/>
          <w:szCs w:val="18"/>
        </w:rPr>
        <w:t xml:space="preserve"> </w:t>
      </w:r>
      <w:proofErr w:type="spellStart"/>
      <w:r>
        <w:rPr>
          <w:rFonts w:ascii="Arial" w:eastAsia="Arial" w:hAnsi="Arial" w:cs="Arial"/>
          <w:sz w:val="18"/>
          <w:szCs w:val="18"/>
        </w:rPr>
        <w:t>las</w:t>
      </w:r>
      <w:proofErr w:type="spellEnd"/>
      <w:r>
        <w:rPr>
          <w:rFonts w:ascii="Arial" w:eastAsia="Arial" w:hAnsi="Arial" w:cs="Arial"/>
          <w:sz w:val="18"/>
          <w:szCs w:val="18"/>
        </w:rPr>
        <w:t xml:space="preserve"> bases de </w:t>
      </w:r>
      <w:proofErr w:type="spellStart"/>
      <w:r>
        <w:rPr>
          <w:rFonts w:ascii="Arial" w:eastAsia="Arial" w:hAnsi="Arial" w:cs="Arial"/>
          <w:sz w:val="18"/>
          <w:szCs w:val="18"/>
        </w:rPr>
        <w:t>datos</w:t>
      </w:r>
      <w:proofErr w:type="spellEnd"/>
      <w:r>
        <w:rPr>
          <w:rFonts w:ascii="Arial" w:eastAsia="Arial" w:hAnsi="Arial" w:cs="Arial"/>
          <w:sz w:val="18"/>
          <w:szCs w:val="18"/>
        </w:rPr>
        <w:t xml:space="preserve"> CAPES, </w:t>
      </w:r>
      <w:proofErr w:type="spellStart"/>
      <w:r>
        <w:rPr>
          <w:rFonts w:ascii="Arial" w:eastAsia="Arial" w:hAnsi="Arial" w:cs="Arial"/>
          <w:sz w:val="18"/>
          <w:szCs w:val="18"/>
        </w:rPr>
        <w:t>Scielo</w:t>
      </w:r>
      <w:proofErr w:type="spellEnd"/>
      <w:r>
        <w:rPr>
          <w:rFonts w:ascii="Arial" w:eastAsia="Arial" w:hAnsi="Arial" w:cs="Arial"/>
          <w:sz w:val="18"/>
          <w:szCs w:val="18"/>
        </w:rPr>
        <w:t xml:space="preserve"> y BDTD, aplicando </w:t>
      </w:r>
      <w:proofErr w:type="spellStart"/>
      <w:r>
        <w:rPr>
          <w:rFonts w:ascii="Arial" w:eastAsia="Arial" w:hAnsi="Arial" w:cs="Arial"/>
          <w:sz w:val="18"/>
          <w:szCs w:val="18"/>
        </w:rPr>
        <w:t>el</w:t>
      </w:r>
      <w:proofErr w:type="spellEnd"/>
      <w:r>
        <w:rPr>
          <w:rFonts w:ascii="Arial" w:eastAsia="Arial" w:hAnsi="Arial" w:cs="Arial"/>
          <w:sz w:val="18"/>
          <w:szCs w:val="18"/>
        </w:rPr>
        <w:t xml:space="preserve"> método </w:t>
      </w:r>
      <w:proofErr w:type="spellStart"/>
      <w:r>
        <w:rPr>
          <w:rFonts w:ascii="Arial" w:eastAsia="Arial" w:hAnsi="Arial" w:cs="Arial"/>
          <w:sz w:val="18"/>
          <w:szCs w:val="18"/>
        </w:rPr>
        <w:t>Proknow</w:t>
      </w:r>
      <w:proofErr w:type="spellEnd"/>
      <w:r>
        <w:rPr>
          <w:rFonts w:ascii="Arial" w:eastAsia="Arial" w:hAnsi="Arial" w:cs="Arial"/>
          <w:sz w:val="18"/>
          <w:szCs w:val="18"/>
        </w:rPr>
        <w:t xml:space="preserve">-C. El período delimitado </w:t>
      </w:r>
      <w:proofErr w:type="spellStart"/>
      <w:r>
        <w:rPr>
          <w:rFonts w:ascii="Arial" w:eastAsia="Arial" w:hAnsi="Arial" w:cs="Arial"/>
          <w:sz w:val="18"/>
          <w:szCs w:val="18"/>
        </w:rPr>
        <w:t>fue</w:t>
      </w:r>
      <w:proofErr w:type="spellEnd"/>
      <w:r>
        <w:rPr>
          <w:rFonts w:ascii="Arial" w:eastAsia="Arial" w:hAnsi="Arial" w:cs="Arial"/>
          <w:sz w:val="18"/>
          <w:szCs w:val="18"/>
        </w:rPr>
        <w:t xml:space="preserve"> de 2019 a 2023. Al final, se </w:t>
      </w:r>
      <w:proofErr w:type="spellStart"/>
      <w:r>
        <w:rPr>
          <w:rFonts w:ascii="Arial" w:eastAsia="Arial" w:hAnsi="Arial" w:cs="Arial"/>
          <w:sz w:val="18"/>
          <w:szCs w:val="18"/>
        </w:rPr>
        <w:t>seleccionaron</w:t>
      </w:r>
      <w:proofErr w:type="spellEnd"/>
      <w:r>
        <w:rPr>
          <w:rFonts w:ascii="Arial" w:eastAsia="Arial" w:hAnsi="Arial" w:cs="Arial"/>
          <w:sz w:val="18"/>
          <w:szCs w:val="18"/>
        </w:rPr>
        <w:t xml:space="preserve"> 61 </w:t>
      </w:r>
      <w:proofErr w:type="spellStart"/>
      <w:r>
        <w:rPr>
          <w:rFonts w:ascii="Arial" w:eastAsia="Arial" w:hAnsi="Arial" w:cs="Arial"/>
          <w:sz w:val="18"/>
          <w:szCs w:val="18"/>
        </w:rPr>
        <w:t>publicaciones</w:t>
      </w:r>
      <w:proofErr w:type="spellEnd"/>
      <w:r>
        <w:rPr>
          <w:rFonts w:ascii="Arial" w:eastAsia="Arial" w:hAnsi="Arial" w:cs="Arial"/>
          <w:sz w:val="18"/>
          <w:szCs w:val="18"/>
        </w:rPr>
        <w:t xml:space="preserve"> </w:t>
      </w:r>
      <w:proofErr w:type="spellStart"/>
      <w:r>
        <w:rPr>
          <w:rFonts w:ascii="Arial" w:eastAsia="Arial" w:hAnsi="Arial" w:cs="Arial"/>
          <w:sz w:val="18"/>
          <w:szCs w:val="18"/>
        </w:rPr>
        <w:t>en</w:t>
      </w:r>
      <w:proofErr w:type="spellEnd"/>
      <w:r>
        <w:rPr>
          <w:rFonts w:ascii="Arial" w:eastAsia="Arial" w:hAnsi="Arial" w:cs="Arial"/>
          <w:sz w:val="18"/>
          <w:szCs w:val="18"/>
        </w:rPr>
        <w:t xml:space="preserve"> revistas científicas y 11 </w:t>
      </w:r>
      <w:proofErr w:type="spellStart"/>
      <w:r>
        <w:rPr>
          <w:rFonts w:ascii="Arial" w:eastAsia="Arial" w:hAnsi="Arial" w:cs="Arial"/>
          <w:sz w:val="18"/>
          <w:szCs w:val="18"/>
        </w:rPr>
        <w:t>disertaciones</w:t>
      </w:r>
      <w:proofErr w:type="spellEnd"/>
      <w:r>
        <w:rPr>
          <w:rFonts w:ascii="Arial" w:eastAsia="Arial" w:hAnsi="Arial" w:cs="Arial"/>
          <w:sz w:val="18"/>
          <w:szCs w:val="18"/>
        </w:rPr>
        <w:t xml:space="preserve"> o </w:t>
      </w:r>
      <w:proofErr w:type="spellStart"/>
      <w:r>
        <w:rPr>
          <w:rFonts w:ascii="Arial" w:eastAsia="Arial" w:hAnsi="Arial" w:cs="Arial"/>
          <w:sz w:val="18"/>
          <w:szCs w:val="18"/>
        </w:rPr>
        <w:t>tesis</w:t>
      </w:r>
      <w:proofErr w:type="spellEnd"/>
      <w:r>
        <w:rPr>
          <w:rFonts w:ascii="Arial" w:eastAsia="Arial" w:hAnsi="Arial" w:cs="Arial"/>
          <w:sz w:val="18"/>
          <w:szCs w:val="18"/>
        </w:rPr>
        <w:t xml:space="preserve">. El resultado más evidente </w:t>
      </w:r>
      <w:proofErr w:type="spellStart"/>
      <w:r>
        <w:rPr>
          <w:rFonts w:ascii="Arial" w:eastAsia="Arial" w:hAnsi="Arial" w:cs="Arial"/>
          <w:sz w:val="18"/>
          <w:szCs w:val="18"/>
        </w:rPr>
        <w:t>quizás</w:t>
      </w:r>
      <w:proofErr w:type="spellEnd"/>
      <w:r>
        <w:rPr>
          <w:rFonts w:ascii="Arial" w:eastAsia="Arial" w:hAnsi="Arial" w:cs="Arial"/>
          <w:sz w:val="18"/>
          <w:szCs w:val="18"/>
        </w:rPr>
        <w:t xml:space="preserve"> sea </w:t>
      </w:r>
      <w:proofErr w:type="spellStart"/>
      <w:r>
        <w:rPr>
          <w:rFonts w:ascii="Arial" w:eastAsia="Arial" w:hAnsi="Arial" w:cs="Arial"/>
          <w:sz w:val="18"/>
          <w:szCs w:val="18"/>
        </w:rPr>
        <w:t>la</w:t>
      </w:r>
      <w:proofErr w:type="spellEnd"/>
      <w:r>
        <w:rPr>
          <w:rFonts w:ascii="Arial" w:eastAsia="Arial" w:hAnsi="Arial" w:cs="Arial"/>
          <w:sz w:val="18"/>
          <w:szCs w:val="18"/>
        </w:rPr>
        <w:t xml:space="preserve"> </w:t>
      </w:r>
      <w:proofErr w:type="spellStart"/>
      <w:r>
        <w:rPr>
          <w:rFonts w:ascii="Arial" w:eastAsia="Arial" w:hAnsi="Arial" w:cs="Arial"/>
          <w:sz w:val="18"/>
          <w:szCs w:val="18"/>
        </w:rPr>
        <w:t>casi</w:t>
      </w:r>
      <w:proofErr w:type="spellEnd"/>
      <w:r>
        <w:rPr>
          <w:rFonts w:ascii="Arial" w:eastAsia="Arial" w:hAnsi="Arial" w:cs="Arial"/>
          <w:sz w:val="18"/>
          <w:szCs w:val="18"/>
        </w:rPr>
        <w:t xml:space="preserve"> total </w:t>
      </w:r>
      <w:proofErr w:type="spellStart"/>
      <w:r>
        <w:rPr>
          <w:rFonts w:ascii="Arial" w:eastAsia="Arial" w:hAnsi="Arial" w:cs="Arial"/>
          <w:sz w:val="18"/>
          <w:szCs w:val="18"/>
        </w:rPr>
        <w:t>ausencia</w:t>
      </w:r>
      <w:proofErr w:type="spellEnd"/>
      <w:r>
        <w:rPr>
          <w:rFonts w:ascii="Arial" w:eastAsia="Arial" w:hAnsi="Arial" w:cs="Arial"/>
          <w:sz w:val="18"/>
          <w:szCs w:val="18"/>
        </w:rPr>
        <w:t xml:space="preserve"> de </w:t>
      </w:r>
      <w:proofErr w:type="spellStart"/>
      <w:r>
        <w:rPr>
          <w:rFonts w:ascii="Arial" w:eastAsia="Arial" w:hAnsi="Arial" w:cs="Arial"/>
          <w:sz w:val="18"/>
          <w:szCs w:val="18"/>
        </w:rPr>
        <w:t>producciones</w:t>
      </w:r>
      <w:proofErr w:type="spellEnd"/>
      <w:r>
        <w:rPr>
          <w:rFonts w:ascii="Arial" w:eastAsia="Arial" w:hAnsi="Arial" w:cs="Arial"/>
          <w:sz w:val="18"/>
          <w:szCs w:val="18"/>
        </w:rPr>
        <w:t xml:space="preserve"> que </w:t>
      </w:r>
      <w:proofErr w:type="spellStart"/>
      <w:r>
        <w:rPr>
          <w:rFonts w:ascii="Arial" w:eastAsia="Arial" w:hAnsi="Arial" w:cs="Arial"/>
          <w:sz w:val="18"/>
          <w:szCs w:val="18"/>
        </w:rPr>
        <w:t>articulen</w:t>
      </w:r>
      <w:proofErr w:type="spellEnd"/>
      <w:r>
        <w:rPr>
          <w:rFonts w:ascii="Arial" w:eastAsia="Arial" w:hAnsi="Arial" w:cs="Arial"/>
          <w:sz w:val="18"/>
          <w:szCs w:val="18"/>
        </w:rPr>
        <w:t xml:space="preserve"> </w:t>
      </w:r>
      <w:proofErr w:type="spellStart"/>
      <w:r>
        <w:rPr>
          <w:rFonts w:ascii="Arial" w:eastAsia="Arial" w:hAnsi="Arial" w:cs="Arial"/>
          <w:sz w:val="18"/>
          <w:szCs w:val="18"/>
        </w:rPr>
        <w:t>los</w:t>
      </w:r>
      <w:proofErr w:type="spellEnd"/>
      <w:r>
        <w:rPr>
          <w:rFonts w:ascii="Arial" w:eastAsia="Arial" w:hAnsi="Arial" w:cs="Arial"/>
          <w:sz w:val="18"/>
          <w:szCs w:val="18"/>
        </w:rPr>
        <w:t xml:space="preserve"> términos “</w:t>
      </w:r>
      <w:proofErr w:type="spellStart"/>
      <w:r>
        <w:rPr>
          <w:rFonts w:ascii="Arial" w:eastAsia="Arial" w:hAnsi="Arial" w:cs="Arial"/>
          <w:sz w:val="18"/>
          <w:szCs w:val="18"/>
        </w:rPr>
        <w:t>liderazgo</w:t>
      </w:r>
      <w:proofErr w:type="spellEnd"/>
      <w:r>
        <w:rPr>
          <w:rFonts w:ascii="Arial" w:eastAsia="Arial" w:hAnsi="Arial" w:cs="Arial"/>
          <w:sz w:val="18"/>
          <w:szCs w:val="18"/>
        </w:rPr>
        <w:t>”, “</w:t>
      </w:r>
      <w:proofErr w:type="spellStart"/>
      <w:r>
        <w:rPr>
          <w:rFonts w:ascii="Arial" w:eastAsia="Arial" w:hAnsi="Arial" w:cs="Arial"/>
          <w:sz w:val="18"/>
          <w:szCs w:val="18"/>
        </w:rPr>
        <w:t>gobernanza</w:t>
      </w:r>
      <w:proofErr w:type="spellEnd"/>
      <w:r>
        <w:rPr>
          <w:rFonts w:ascii="Arial" w:eastAsia="Arial" w:hAnsi="Arial" w:cs="Arial"/>
          <w:sz w:val="18"/>
          <w:szCs w:val="18"/>
        </w:rPr>
        <w:t xml:space="preserve"> pública” y “TCU”. Este dato, por </w:t>
      </w:r>
      <w:proofErr w:type="spellStart"/>
      <w:r>
        <w:rPr>
          <w:rFonts w:ascii="Arial" w:eastAsia="Arial" w:hAnsi="Arial" w:cs="Arial"/>
          <w:sz w:val="18"/>
          <w:szCs w:val="18"/>
        </w:rPr>
        <w:t>sí</w:t>
      </w:r>
      <w:proofErr w:type="spellEnd"/>
      <w:r>
        <w:rPr>
          <w:rFonts w:ascii="Arial" w:eastAsia="Arial" w:hAnsi="Arial" w:cs="Arial"/>
          <w:sz w:val="18"/>
          <w:szCs w:val="18"/>
        </w:rPr>
        <w:t xml:space="preserve"> solo, </w:t>
      </w:r>
      <w:proofErr w:type="spellStart"/>
      <w:r>
        <w:rPr>
          <w:rFonts w:ascii="Arial" w:eastAsia="Arial" w:hAnsi="Arial" w:cs="Arial"/>
          <w:sz w:val="18"/>
          <w:szCs w:val="18"/>
        </w:rPr>
        <w:t>ya</w:t>
      </w:r>
      <w:proofErr w:type="spellEnd"/>
      <w:r>
        <w:rPr>
          <w:rFonts w:ascii="Arial" w:eastAsia="Arial" w:hAnsi="Arial" w:cs="Arial"/>
          <w:sz w:val="18"/>
          <w:szCs w:val="18"/>
        </w:rPr>
        <w:t xml:space="preserve"> </w:t>
      </w:r>
      <w:proofErr w:type="spellStart"/>
      <w:r>
        <w:rPr>
          <w:rFonts w:ascii="Arial" w:eastAsia="Arial" w:hAnsi="Arial" w:cs="Arial"/>
          <w:sz w:val="18"/>
          <w:szCs w:val="18"/>
        </w:rPr>
        <w:t>señala</w:t>
      </w:r>
      <w:proofErr w:type="spellEnd"/>
      <w:r>
        <w:rPr>
          <w:rFonts w:ascii="Arial" w:eastAsia="Arial" w:hAnsi="Arial" w:cs="Arial"/>
          <w:sz w:val="18"/>
          <w:szCs w:val="18"/>
        </w:rPr>
        <w:t xml:space="preserve"> una </w:t>
      </w:r>
      <w:proofErr w:type="spellStart"/>
      <w:r>
        <w:rPr>
          <w:rFonts w:ascii="Arial" w:eastAsia="Arial" w:hAnsi="Arial" w:cs="Arial"/>
          <w:sz w:val="18"/>
          <w:szCs w:val="18"/>
        </w:rPr>
        <w:t>fragilidad</w:t>
      </w:r>
      <w:proofErr w:type="spellEnd"/>
      <w:r>
        <w:rPr>
          <w:rFonts w:ascii="Arial" w:eastAsia="Arial" w:hAnsi="Arial" w:cs="Arial"/>
          <w:sz w:val="18"/>
          <w:szCs w:val="18"/>
        </w:rPr>
        <w:t xml:space="preserve"> teórica y </w:t>
      </w:r>
      <w:proofErr w:type="spellStart"/>
      <w:r>
        <w:rPr>
          <w:rFonts w:ascii="Arial" w:eastAsia="Arial" w:hAnsi="Arial" w:cs="Arial"/>
          <w:sz w:val="18"/>
          <w:szCs w:val="18"/>
        </w:rPr>
        <w:t>práctica</w:t>
      </w:r>
      <w:proofErr w:type="spellEnd"/>
      <w:r>
        <w:rPr>
          <w:rFonts w:ascii="Arial" w:eastAsia="Arial" w:hAnsi="Arial" w:cs="Arial"/>
          <w:sz w:val="18"/>
          <w:szCs w:val="18"/>
        </w:rPr>
        <w:t xml:space="preserve">, </w:t>
      </w:r>
      <w:proofErr w:type="spellStart"/>
      <w:r>
        <w:rPr>
          <w:rFonts w:ascii="Arial" w:eastAsia="Arial" w:hAnsi="Arial" w:cs="Arial"/>
          <w:sz w:val="18"/>
          <w:szCs w:val="18"/>
        </w:rPr>
        <w:t>llamando</w:t>
      </w:r>
      <w:proofErr w:type="spellEnd"/>
      <w:r>
        <w:rPr>
          <w:rFonts w:ascii="Arial" w:eastAsia="Arial" w:hAnsi="Arial" w:cs="Arial"/>
          <w:sz w:val="18"/>
          <w:szCs w:val="18"/>
        </w:rPr>
        <w:t xml:space="preserve"> </w:t>
      </w:r>
      <w:proofErr w:type="spellStart"/>
      <w:r>
        <w:rPr>
          <w:rFonts w:ascii="Arial" w:eastAsia="Arial" w:hAnsi="Arial" w:cs="Arial"/>
          <w:sz w:val="18"/>
          <w:szCs w:val="18"/>
        </w:rPr>
        <w:t>la</w:t>
      </w:r>
      <w:proofErr w:type="spellEnd"/>
      <w:r>
        <w:rPr>
          <w:rFonts w:ascii="Arial" w:eastAsia="Arial" w:hAnsi="Arial" w:cs="Arial"/>
          <w:sz w:val="18"/>
          <w:szCs w:val="18"/>
        </w:rPr>
        <w:t xml:space="preserve"> </w:t>
      </w:r>
      <w:proofErr w:type="spellStart"/>
      <w:r>
        <w:rPr>
          <w:rFonts w:ascii="Arial" w:eastAsia="Arial" w:hAnsi="Arial" w:cs="Arial"/>
          <w:sz w:val="18"/>
          <w:szCs w:val="18"/>
        </w:rPr>
        <w:t>atención</w:t>
      </w:r>
      <w:proofErr w:type="spellEnd"/>
      <w:r>
        <w:rPr>
          <w:rFonts w:ascii="Arial" w:eastAsia="Arial" w:hAnsi="Arial" w:cs="Arial"/>
          <w:sz w:val="18"/>
          <w:szCs w:val="18"/>
        </w:rPr>
        <w:t xml:space="preserve"> sobre </w:t>
      </w:r>
      <w:proofErr w:type="spellStart"/>
      <w:r>
        <w:rPr>
          <w:rFonts w:ascii="Arial" w:eastAsia="Arial" w:hAnsi="Arial" w:cs="Arial"/>
          <w:sz w:val="18"/>
          <w:szCs w:val="18"/>
        </w:rPr>
        <w:t>la</w:t>
      </w:r>
      <w:proofErr w:type="spellEnd"/>
      <w:r>
        <w:rPr>
          <w:rFonts w:ascii="Arial" w:eastAsia="Arial" w:hAnsi="Arial" w:cs="Arial"/>
          <w:sz w:val="18"/>
          <w:szCs w:val="18"/>
        </w:rPr>
        <w:t xml:space="preserve"> </w:t>
      </w:r>
      <w:proofErr w:type="spellStart"/>
      <w:r>
        <w:rPr>
          <w:rFonts w:ascii="Arial" w:eastAsia="Arial" w:hAnsi="Arial" w:cs="Arial"/>
          <w:sz w:val="18"/>
          <w:szCs w:val="18"/>
        </w:rPr>
        <w:t>necesidad</w:t>
      </w:r>
      <w:proofErr w:type="spellEnd"/>
      <w:r>
        <w:rPr>
          <w:rFonts w:ascii="Arial" w:eastAsia="Arial" w:hAnsi="Arial" w:cs="Arial"/>
          <w:sz w:val="18"/>
          <w:szCs w:val="18"/>
        </w:rPr>
        <w:t xml:space="preserve"> de </w:t>
      </w:r>
      <w:proofErr w:type="spellStart"/>
      <w:r>
        <w:rPr>
          <w:rFonts w:ascii="Arial" w:eastAsia="Arial" w:hAnsi="Arial" w:cs="Arial"/>
          <w:sz w:val="18"/>
          <w:szCs w:val="18"/>
        </w:rPr>
        <w:t>nuevos</w:t>
      </w:r>
      <w:proofErr w:type="spellEnd"/>
      <w:r>
        <w:rPr>
          <w:rFonts w:ascii="Arial" w:eastAsia="Arial" w:hAnsi="Arial" w:cs="Arial"/>
          <w:sz w:val="18"/>
          <w:szCs w:val="18"/>
        </w:rPr>
        <w:t xml:space="preserve"> </w:t>
      </w:r>
      <w:proofErr w:type="spellStart"/>
      <w:r>
        <w:rPr>
          <w:rFonts w:ascii="Arial" w:eastAsia="Arial" w:hAnsi="Arial" w:cs="Arial"/>
          <w:sz w:val="18"/>
          <w:szCs w:val="18"/>
        </w:rPr>
        <w:t>estudios</w:t>
      </w:r>
      <w:proofErr w:type="spellEnd"/>
      <w:r>
        <w:rPr>
          <w:rFonts w:ascii="Arial" w:eastAsia="Arial" w:hAnsi="Arial" w:cs="Arial"/>
          <w:sz w:val="18"/>
          <w:szCs w:val="18"/>
        </w:rPr>
        <w:t xml:space="preserve"> que </w:t>
      </w:r>
      <w:proofErr w:type="spellStart"/>
      <w:r>
        <w:rPr>
          <w:rFonts w:ascii="Arial" w:eastAsia="Arial" w:hAnsi="Arial" w:cs="Arial"/>
          <w:sz w:val="18"/>
          <w:szCs w:val="18"/>
        </w:rPr>
        <w:t>logren</w:t>
      </w:r>
      <w:proofErr w:type="spellEnd"/>
      <w:r>
        <w:rPr>
          <w:rFonts w:ascii="Arial" w:eastAsia="Arial" w:hAnsi="Arial" w:cs="Arial"/>
          <w:sz w:val="18"/>
          <w:szCs w:val="18"/>
        </w:rPr>
        <w:t xml:space="preserve"> acercar </w:t>
      </w:r>
      <w:proofErr w:type="spellStart"/>
      <w:r>
        <w:rPr>
          <w:rFonts w:ascii="Arial" w:eastAsia="Arial" w:hAnsi="Arial" w:cs="Arial"/>
          <w:sz w:val="18"/>
          <w:szCs w:val="18"/>
        </w:rPr>
        <w:t>estos</w:t>
      </w:r>
      <w:proofErr w:type="spellEnd"/>
      <w:r>
        <w:rPr>
          <w:rFonts w:ascii="Arial" w:eastAsia="Arial" w:hAnsi="Arial" w:cs="Arial"/>
          <w:sz w:val="18"/>
          <w:szCs w:val="18"/>
        </w:rPr>
        <w:t xml:space="preserve"> conceptos de forma más sólida.</w:t>
      </w:r>
    </w:p>
    <w:p w14:paraId="60124F94" w14:textId="77777777" w:rsidR="003A2854" w:rsidRDefault="00000000">
      <w:pPr>
        <w:spacing w:after="0" w:line="240" w:lineRule="auto"/>
        <w:jc w:val="both"/>
        <w:rPr>
          <w:rFonts w:ascii="Arial" w:eastAsia="Arial" w:hAnsi="Arial" w:cs="Arial"/>
          <w:sz w:val="18"/>
          <w:szCs w:val="18"/>
        </w:rPr>
      </w:pPr>
      <w:proofErr w:type="spellStart"/>
      <w:r>
        <w:rPr>
          <w:rFonts w:ascii="Arial" w:eastAsia="Arial" w:hAnsi="Arial" w:cs="Arial"/>
          <w:b/>
          <w:sz w:val="18"/>
          <w:szCs w:val="18"/>
        </w:rPr>
        <w:t>Palabras</w:t>
      </w:r>
      <w:proofErr w:type="spellEnd"/>
      <w:r>
        <w:rPr>
          <w:rFonts w:ascii="Arial" w:eastAsia="Arial" w:hAnsi="Arial" w:cs="Arial"/>
          <w:b/>
          <w:sz w:val="18"/>
          <w:szCs w:val="18"/>
        </w:rPr>
        <w:t xml:space="preserve"> clave:</w:t>
      </w:r>
      <w:r>
        <w:rPr>
          <w:rFonts w:ascii="Arial" w:eastAsia="Arial" w:hAnsi="Arial" w:cs="Arial"/>
          <w:sz w:val="18"/>
          <w:szCs w:val="18"/>
        </w:rPr>
        <w:t xml:space="preserve"> </w:t>
      </w:r>
      <w:proofErr w:type="spellStart"/>
      <w:r>
        <w:rPr>
          <w:rFonts w:ascii="Arial" w:eastAsia="Arial" w:hAnsi="Arial" w:cs="Arial"/>
          <w:sz w:val="18"/>
          <w:szCs w:val="18"/>
        </w:rPr>
        <w:t>Gobernanza</w:t>
      </w:r>
      <w:proofErr w:type="spellEnd"/>
      <w:r>
        <w:rPr>
          <w:rFonts w:ascii="Arial" w:eastAsia="Arial" w:hAnsi="Arial" w:cs="Arial"/>
          <w:sz w:val="18"/>
          <w:szCs w:val="18"/>
        </w:rPr>
        <w:t xml:space="preserve"> pública; </w:t>
      </w:r>
      <w:proofErr w:type="spellStart"/>
      <w:r>
        <w:rPr>
          <w:rFonts w:ascii="Arial" w:eastAsia="Arial" w:hAnsi="Arial" w:cs="Arial"/>
          <w:sz w:val="18"/>
          <w:szCs w:val="18"/>
        </w:rPr>
        <w:t>Universidad</w:t>
      </w:r>
      <w:proofErr w:type="spellEnd"/>
      <w:r>
        <w:rPr>
          <w:rFonts w:ascii="Arial" w:eastAsia="Arial" w:hAnsi="Arial" w:cs="Arial"/>
          <w:sz w:val="18"/>
          <w:szCs w:val="18"/>
        </w:rPr>
        <w:t xml:space="preserve"> pública; </w:t>
      </w:r>
      <w:proofErr w:type="spellStart"/>
      <w:r>
        <w:rPr>
          <w:rFonts w:ascii="Arial" w:eastAsia="Arial" w:hAnsi="Arial" w:cs="Arial"/>
          <w:sz w:val="18"/>
          <w:szCs w:val="18"/>
        </w:rPr>
        <w:t>Liderazgo</w:t>
      </w:r>
      <w:proofErr w:type="spellEnd"/>
      <w:r>
        <w:t>.</w:t>
      </w:r>
    </w:p>
    <w:p w14:paraId="3983B968" w14:textId="77777777" w:rsidR="003A2854" w:rsidRDefault="003A2854">
      <w:pPr>
        <w:pBdr>
          <w:top w:val="nil"/>
          <w:left w:val="nil"/>
          <w:bottom w:val="single" w:sz="4" w:space="25" w:color="000000"/>
          <w:right w:val="nil"/>
          <w:between w:val="nil"/>
        </w:pBdr>
        <w:spacing w:before="120" w:after="240" w:line="276" w:lineRule="auto"/>
        <w:ind w:left="-2127" w:firstLine="141"/>
        <w:jc w:val="both"/>
        <w:rPr>
          <w:rFonts w:ascii="Arial" w:eastAsia="Arial" w:hAnsi="Arial" w:cs="Arial"/>
          <w:i/>
          <w:color w:val="000000"/>
          <w:sz w:val="18"/>
          <w:szCs w:val="18"/>
        </w:rPr>
      </w:pPr>
      <w:bookmarkStart w:id="5" w:name="_kvbzxyhz8428" w:colFirst="0" w:colLast="0"/>
      <w:bookmarkEnd w:id="5"/>
    </w:p>
    <w:p w14:paraId="0D6CA00E"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lastRenderedPageBreak/>
        <w:t>INTRODUÇÃO</w:t>
      </w:r>
    </w:p>
    <w:p w14:paraId="1B44E153"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Discutir governança pública tornou-se, nos últimos anos, uma necessidade que ultrapassa o modismo acadêmico. Em tempos de cobrança por eficiência e por práticas mais transparentes no setor público, é natural que o tema assuma protagonismo, especialmente no contexto das universidades públicas. Mas há um detalhe que costuma escapar: a liderança. Ainda que presente nas recomendações de órgãos como o Tribunal de Contas da União (TCU), ela parece, curiosamente, ausente de boa parte das produções científicas que discutem governança nesse ambiente.</w:t>
      </w:r>
    </w:p>
    <w:p w14:paraId="3C84F562"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Rocha (2017 apud Santos; Souza, 2022) já alertava que a governança pública não deve ser reduzida a um conjunto técnico de normas. Ela também é valor, articulação política e compromisso com justiça social. Nesse sentido, a liderança aparece como um fator decisivo, não apenas para a tomada de decisões, mas para transformar diretrizes abstratas em ações concretas.</w:t>
      </w:r>
    </w:p>
    <w:p w14:paraId="53C68E56"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TCU, por sua vez, tem buscado mostrar que sem lideranças qualificadas, comprometidas e legitimadas, o modelo de governança perde força. Ainda assim, o que se observa na literatura científica é um silêncio incômodo sobre essa relação. Não se trata apenas de uma ausência quantitativa de artigos, mas de uma carência teórica que compromete a construção de modelos aplicáveis à realidade das universidades.</w:t>
      </w:r>
    </w:p>
    <w:p w14:paraId="034F5C00"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artigo, portanto, nasce dessa inquietação. O objetivo é investigar como a liderança tem sido (ou não) tratada como um mecanismo relevante da governança pública nas universidades públicas brasileiras, tomando como referência os parâmetros do TCU. Além disso, busca-se compreender o que essa ausência de estudos revela sobre as prioridades da produção acadêmica nacional e sobre os próprios desafios enfrentados pelas instituições.</w:t>
      </w:r>
    </w:p>
    <w:p w14:paraId="16892EEA"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pergunta que nos guia é direta, quase provocativa: por que a liderança, mesmo sendo mencionada nos documentos oficiais como um dos pilares da boa governança, ainda não despertou o interesse proporcional na literatura científica voltada às universidades públicas?</w:t>
      </w:r>
    </w:p>
    <w:p w14:paraId="27D9825B" w14:textId="77777777" w:rsidR="003A2854" w:rsidRDefault="00000000">
      <w:pPr>
        <w:tabs>
          <w:tab w:val="left" w:pos="851"/>
        </w:tabs>
        <w:spacing w:after="0" w:line="360" w:lineRule="auto"/>
        <w:ind w:firstLine="709"/>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Para responder aos objetivos e à questão de pesquisa, adotou-se uma abordagem metodológica que combina revisão sistemática de literatura e análise</w:t>
      </w:r>
      <w:r>
        <w:rPr>
          <w:color w:val="0D0D0D"/>
          <w:sz w:val="24"/>
          <w:szCs w:val="24"/>
          <w:highlight w:val="white"/>
        </w:rPr>
        <w:t xml:space="preserve"> </w:t>
      </w:r>
      <w:r>
        <w:rPr>
          <w:rFonts w:ascii="Times New Roman" w:eastAsia="Times New Roman" w:hAnsi="Times New Roman" w:cs="Times New Roman"/>
          <w:color w:val="0D0D0D"/>
          <w:sz w:val="24"/>
          <w:szCs w:val="24"/>
          <w:highlight w:val="white"/>
        </w:rPr>
        <w:t xml:space="preserve">bibliométrica, mediante buscas em bases de dados da Coordenação de </w:t>
      </w:r>
      <w:r>
        <w:rPr>
          <w:rFonts w:ascii="Times New Roman" w:eastAsia="Times New Roman" w:hAnsi="Times New Roman" w:cs="Times New Roman"/>
          <w:color w:val="0D0D0D"/>
          <w:sz w:val="24"/>
          <w:szCs w:val="24"/>
          <w:highlight w:val="white"/>
        </w:rPr>
        <w:lastRenderedPageBreak/>
        <w:t xml:space="preserve">Aperfeiçoamento de Pessoal de Nível Superior (CAPES), </w:t>
      </w:r>
      <w:proofErr w:type="spellStart"/>
      <w:r>
        <w:rPr>
          <w:rFonts w:ascii="Times New Roman" w:eastAsia="Times New Roman" w:hAnsi="Times New Roman" w:cs="Times New Roman"/>
          <w:i/>
          <w:color w:val="0D0D0D"/>
          <w:sz w:val="24"/>
          <w:szCs w:val="24"/>
          <w:highlight w:val="white"/>
        </w:rPr>
        <w:t>Scientific</w:t>
      </w:r>
      <w:proofErr w:type="spellEnd"/>
      <w:r>
        <w:rPr>
          <w:rFonts w:ascii="Times New Roman" w:eastAsia="Times New Roman" w:hAnsi="Times New Roman" w:cs="Times New Roman"/>
          <w:i/>
          <w:color w:val="0D0D0D"/>
          <w:sz w:val="24"/>
          <w:szCs w:val="24"/>
          <w:highlight w:val="white"/>
        </w:rPr>
        <w:t xml:space="preserve"> </w:t>
      </w:r>
      <w:proofErr w:type="spellStart"/>
      <w:r>
        <w:rPr>
          <w:rFonts w:ascii="Times New Roman" w:eastAsia="Times New Roman" w:hAnsi="Times New Roman" w:cs="Times New Roman"/>
          <w:i/>
          <w:color w:val="0D0D0D"/>
          <w:sz w:val="24"/>
          <w:szCs w:val="24"/>
          <w:highlight w:val="white"/>
        </w:rPr>
        <w:t>Electronic</w:t>
      </w:r>
      <w:proofErr w:type="spellEnd"/>
      <w:r>
        <w:rPr>
          <w:rFonts w:ascii="Times New Roman" w:eastAsia="Times New Roman" w:hAnsi="Times New Roman" w:cs="Times New Roman"/>
          <w:i/>
          <w:color w:val="0D0D0D"/>
          <w:sz w:val="24"/>
          <w:szCs w:val="24"/>
          <w:highlight w:val="white"/>
        </w:rPr>
        <w:t xml:space="preserve"> Library Online</w:t>
      </w:r>
      <w:r>
        <w:rPr>
          <w:rFonts w:ascii="Times New Roman" w:eastAsia="Times New Roman" w:hAnsi="Times New Roman" w:cs="Times New Roman"/>
          <w:color w:val="0D0D0D"/>
          <w:sz w:val="24"/>
          <w:szCs w:val="24"/>
          <w:highlight w:val="white"/>
        </w:rPr>
        <w:t xml:space="preserve"> (SciELO) e Biblioteca Digital Brasileira de Teses e Dissertações (BDTD).</w:t>
      </w:r>
    </w:p>
    <w:p w14:paraId="5E6AA224"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t>2 REFERENCIAL TEÓRICO</w:t>
      </w:r>
    </w:p>
    <w:p w14:paraId="3BDB2B0D"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sz w:val="28"/>
          <w:szCs w:val="28"/>
        </w:rPr>
        <w:t>2.1 – Governança: marcos históricos</w:t>
      </w:r>
    </w:p>
    <w:p w14:paraId="620F61BF"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palavra "governança", embora tenha se popularizado nas últimas décadas, não é exatamente recente. Seu uso, aliás, começou muito antes de ela se tornar parte do vocabulário da gestão pública. Inicialmente ligada ao universo das corporações privadas — principalmente como resposta à separação entre quem detinha a propriedade e quem, de fato, administrava —, a governança surgiu como uma tentativa de equilibrar interesses nem sempre compatíveis. Proprietários queriam retorno; gestores, autonomia. E foi nesse jogo de forças que os mecanismos de governança começaram a ganhar forma (IBGC, </w:t>
      </w:r>
      <w:r>
        <w:rPr>
          <w:rFonts w:ascii="Times New Roman" w:eastAsia="Times New Roman" w:hAnsi="Times New Roman" w:cs="Times New Roman"/>
          <w:sz w:val="24"/>
          <w:szCs w:val="24"/>
          <w:highlight w:val="white"/>
        </w:rPr>
        <w:t>2009).</w:t>
      </w:r>
    </w:p>
    <w:p w14:paraId="0325B5EE"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prática, o que se buscava era algum tipo de proteção: para os investidores, para a empresa, para o sistema. Por isso surgiram estruturas como conselhos, auditorias, códigos de conduta. Com o tempo, esse modelo acabou extrapolando os muros das empresas e passou a influenciar outros campos — e é aí que entra o setor público (IBGC, </w:t>
      </w:r>
      <w:r>
        <w:rPr>
          <w:rFonts w:ascii="Times New Roman" w:eastAsia="Times New Roman" w:hAnsi="Times New Roman" w:cs="Times New Roman"/>
          <w:sz w:val="24"/>
          <w:szCs w:val="24"/>
          <w:highlight w:val="white"/>
        </w:rPr>
        <w:t>2009).</w:t>
      </w:r>
    </w:p>
    <w:p w14:paraId="58C12142"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Banco Mundial, por exemplo, define governança como um conjunto de processos e estruturas que devem assegurar que as ações planejadas realmente aconteçam — de forma eficiente, com transparência, e respeitando os objetivos traçados (BRASIL, 2014). Parece simples, mas não é. A questão aqui vai além de cumprir metas: envolve também como essas metas são construídas e com que legitimidade elas se sustentam.</w:t>
      </w:r>
    </w:p>
    <w:p w14:paraId="0425CADB"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por acaso, no setor público, a governança assumiu contornos mais complexos. Afinal, diferentemente de uma empresa, o Estado não tem acionistas — tem cidadãos. E o que está em jogo é a confiança da sociedade em suas instituições. Assim, aquilo que antes era apenas uma prática empresarial, passou a ser enxergado como essencial também para garantir a efetividade das políticas públicas (Bento, 2003).</w:t>
      </w:r>
    </w:p>
    <w:p w14:paraId="38E3F0ED"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sz w:val="28"/>
          <w:szCs w:val="28"/>
        </w:rPr>
        <w:t>2.2 – Governança pública</w:t>
      </w:r>
    </w:p>
    <w:p w14:paraId="1B9E84DF"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governança pública, do jeito que é discutida hoje, não nasceu de um plano </w:t>
      </w:r>
      <w:proofErr w:type="gramStart"/>
      <w:r>
        <w:rPr>
          <w:rFonts w:ascii="Times New Roman" w:eastAsia="Times New Roman" w:hAnsi="Times New Roman" w:cs="Times New Roman"/>
          <w:sz w:val="24"/>
          <w:szCs w:val="24"/>
        </w:rPr>
        <w:t>bem organizado</w:t>
      </w:r>
      <w:proofErr w:type="gramEnd"/>
      <w:r>
        <w:rPr>
          <w:rFonts w:ascii="Times New Roman" w:eastAsia="Times New Roman" w:hAnsi="Times New Roman" w:cs="Times New Roman"/>
          <w:sz w:val="24"/>
          <w:szCs w:val="24"/>
        </w:rPr>
        <w:t xml:space="preserve">. Ela foi, em grande medida, uma resposta. Uma tentativa de reequilibrar o Estado diante da crise fiscal e institucional que atingiu vários </w:t>
      </w:r>
      <w:r>
        <w:rPr>
          <w:rFonts w:ascii="Times New Roman" w:eastAsia="Times New Roman" w:hAnsi="Times New Roman" w:cs="Times New Roman"/>
          <w:sz w:val="24"/>
          <w:szCs w:val="24"/>
        </w:rPr>
        <w:lastRenderedPageBreak/>
        <w:t>países a partir dos anos 1980. Com a escassez de recursos, cresceu a pressão para que o serviço público fosse não só eficiente, mas também mais transparente e orientado a resultados (Brasil 2014).</w:t>
      </w:r>
    </w:p>
    <w:p w14:paraId="2B5C3182"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Foi nesse cenário que diversas instituições internacionais começaram a sistematizar princípios e boas práticas para o setor público. Em 2001, a IFAC lançou um estudo importante. Logo depois, vieram os guias do ANAO (2003), do CIPFA (2004) e, aos poucos, países como o Brasil começaram a incorporar esses referenciais. Oliveira e </w:t>
      </w:r>
      <w:proofErr w:type="spellStart"/>
      <w:r>
        <w:rPr>
          <w:rFonts w:ascii="Times New Roman" w:eastAsia="Times New Roman" w:hAnsi="Times New Roman" w:cs="Times New Roman"/>
          <w:sz w:val="24"/>
          <w:szCs w:val="24"/>
        </w:rPr>
        <w:t>Tazinasso</w:t>
      </w:r>
      <w:proofErr w:type="spellEnd"/>
      <w:r>
        <w:rPr>
          <w:rFonts w:ascii="Times New Roman" w:eastAsia="Times New Roman" w:hAnsi="Times New Roman" w:cs="Times New Roman"/>
          <w:sz w:val="24"/>
          <w:szCs w:val="24"/>
        </w:rPr>
        <w:t xml:space="preserve"> (2015) mostram como esse movimento foi ganhando força, inclusive com a criação de códigos nacionais de governança.</w:t>
      </w:r>
    </w:p>
    <w:p w14:paraId="0AE4218B"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OCDE, por sua vez, assumiu papel de liderança nesse debate. A criação do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Management </w:t>
      </w:r>
      <w:proofErr w:type="spellStart"/>
      <w:r>
        <w:rPr>
          <w:rFonts w:ascii="Times New Roman" w:eastAsia="Times New Roman" w:hAnsi="Times New Roman" w:cs="Times New Roman"/>
          <w:sz w:val="24"/>
          <w:szCs w:val="24"/>
        </w:rPr>
        <w:t>Committee</w:t>
      </w:r>
      <w:proofErr w:type="spellEnd"/>
      <w:r>
        <w:rPr>
          <w:rFonts w:ascii="Times New Roman" w:eastAsia="Times New Roman" w:hAnsi="Times New Roman" w:cs="Times New Roman"/>
          <w:sz w:val="24"/>
          <w:szCs w:val="24"/>
        </w:rPr>
        <w:t xml:space="preserve"> e, depois, da Diretoria de Governança Pública e Desenvolvimento Territorial são exemplos disso (Thorstensen; Nogueira, 2020). E o Brasil, ainda que com algum atraso, acabou acompanhando esse processo, com o TCU assumindo parte dessa missão ao propor referenciais próprios para orientar os órgãos e entidades públicas.</w:t>
      </w:r>
    </w:p>
    <w:p w14:paraId="6CE798C0"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Banco Mundial tem sido enfático: boa governança é condição para o desenvolvimento. E o contrário também é verdadeiro — onde há má governança, há espaço para crises, desconfiança, e até rupturas institucionais (Brasil, 2018). No caso das universidades públicas, isso não é diferente. A gestão desses espaços precisa refletir os princípios de legitimidade, participação e eficiência. E isso exige mais do que normas: exige práticas reais, conduzidas por pessoas comprometidas com o interesse público (2018).</w:t>
      </w:r>
    </w:p>
    <w:p w14:paraId="0BDBF3FE"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sz w:val="28"/>
          <w:szCs w:val="28"/>
        </w:rPr>
        <w:t>2.3 – Mecanismos, componentes e práticas de governança</w:t>
      </w:r>
    </w:p>
    <w:p w14:paraId="102BFC8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basta falar em governança se não formos capazes de identificar, na prática, como ela se estrutura. Na maioria das vezes, os conceitos soam bem, mas ficam no campo da intenção. É por isso que o desenho da governança precisa incluir mecanismos, e aqui não se trata de algo meramente técnico — são instrumentos que tornam viável o funcionamento da gestão pública de forma efetiva.</w:t>
      </w:r>
    </w:p>
    <w:p w14:paraId="028311FF"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das instituições públicas brasileiras, o Tribunal de Contas da União (TCU) organizou esses mecanismos em três grupos principais: liderança, estratégia e controle. Não existe hierarquia rígida entre eles, embora a liderança seja, muitas vezes, o ponto de partida. Um complementa o outro. É comum, </w:t>
      </w:r>
      <w:r>
        <w:rPr>
          <w:rFonts w:ascii="Times New Roman" w:eastAsia="Times New Roman" w:hAnsi="Times New Roman" w:cs="Times New Roman"/>
          <w:sz w:val="24"/>
          <w:szCs w:val="24"/>
        </w:rPr>
        <w:lastRenderedPageBreak/>
        <w:t>inclusive, que se sobreponham. Quando a liderança é fraca, por exemplo, dificilmente haverá estratégia clara, e o controle, por mais bem estruturado, não dará conta de manter a organização nos trilhos.</w:t>
      </w:r>
    </w:p>
    <w:p w14:paraId="79562665"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 seja, a lógica é relacional: quem lidera define ou influencia a estratégia; quem controla precisa de parâmetros construídos previamente, e esses parâmetros vêm, em grande medida, da estratégia. Parece óbvio, mas muitas vezes é isso que falta nas instituições: uma engrenagem que funcione sem depender apenas de boas intenções.</w:t>
      </w:r>
    </w:p>
    <w:p w14:paraId="790BEAD3"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t>2.3.1 – Mecanismos de governança</w:t>
      </w:r>
    </w:p>
    <w:p w14:paraId="593C944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TCU apresenta os três mecanismos centrais de governança como partes de um mesmo sistema, e começa pela liderança. Não é coincidência. A liderança institucional não é só uma posição ocupada — ela representa valores, direcionamentos e comportamentos. Esse mecanismo deve assegurar condições mínimas de integridade, competência, responsabilidade e motivação. Tudo isso parece muito conceitual, mas no cotidiano, isso se traduz em como os gestores lidam com decisões difíceis, com conflitos internos e até com a própria rotina administrativa (Brasil, 2017).</w:t>
      </w:r>
    </w:p>
    <w:p w14:paraId="0410D909"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papel da liderança, nesse caso, é quase pedagógico. O exemplo que ela oferece tende a se espraiar pelas demais instâncias da organização. E aqui entra a estratégia: ela é o desdobramento prático do que foi definido no nível da liderança. Planejar metas, escutar demandas, alinhar setores, tudo isso depende do quanto a instituição é capaz de transformar liderança em orientação concreta (Brasil, 2014).</w:t>
      </w:r>
    </w:p>
    <w:p w14:paraId="1562EA11"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 controle? Ele aparece como um tipo de amparo. Não se trata apenas de fiscalizar, mas de criar segurança para as decisões. Os controles internos ajudam a manter o foco e evitar desvios. Claro, isso inclui também a prestação de contas, o princípio da </w:t>
      </w:r>
      <w:proofErr w:type="spellStart"/>
      <w:r>
        <w:rPr>
          <w:rFonts w:ascii="Times New Roman" w:eastAsia="Times New Roman" w:hAnsi="Times New Roman" w:cs="Times New Roman"/>
          <w:sz w:val="24"/>
          <w:szCs w:val="24"/>
        </w:rPr>
        <w:t>accountability</w:t>
      </w:r>
      <w:proofErr w:type="spellEnd"/>
      <w:r>
        <w:rPr>
          <w:rFonts w:ascii="Times New Roman" w:eastAsia="Times New Roman" w:hAnsi="Times New Roman" w:cs="Times New Roman"/>
          <w:sz w:val="24"/>
          <w:szCs w:val="24"/>
        </w:rPr>
        <w:t>, que hoje já não é mais opcional — é uma exigência ética. E o que é interessante: prestar contas não é apenas expor resultados, mas também reconhecer fragilidades e justificar caminhos escolhidos (Brasil, 2014).</w:t>
      </w:r>
    </w:p>
    <w:p w14:paraId="0EBA3FB5"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t>2.3.2 – Mecanismo de governança: liderança</w:t>
      </w:r>
    </w:p>
    <w:p w14:paraId="1A2AB8B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se fala em liderança na administração pública, é comum pensar apenas em cargos ocupados. Mas a questão vai além disso. O TCU trata a liderança como um mecanismo em si, o que é bem mais abrangente. Estamos </w:t>
      </w:r>
      <w:r>
        <w:rPr>
          <w:rFonts w:ascii="Times New Roman" w:eastAsia="Times New Roman" w:hAnsi="Times New Roman" w:cs="Times New Roman"/>
          <w:sz w:val="24"/>
          <w:szCs w:val="24"/>
        </w:rPr>
        <w:lastRenderedPageBreak/>
        <w:t>falando de uma prática contínua, de uma postura que impacta diretamente na governança — e isso exige mais do que formação técnica. É preciso preparo ético, institucional e até emocional, em alguns casos (Andrade, 2023).</w:t>
      </w:r>
    </w:p>
    <w:p w14:paraId="73FCA2D6"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um ponto importante: a liderança ajuda a moldar a cultura organizacional. O modo como o líder se comunica, como escuta, como reage diante das falhas — tudo isso influencia os demais setores. Por isso, o modelo proposto pelo TCU enfatiza tanto a integridade como pilar básico. Não adianta um líder ser eficiente se for visto como autoritário, opaco ou distante da </w:t>
      </w:r>
      <w:proofErr w:type="gramStart"/>
      <w:r>
        <w:rPr>
          <w:rFonts w:ascii="Times New Roman" w:eastAsia="Times New Roman" w:hAnsi="Times New Roman" w:cs="Times New Roman"/>
          <w:sz w:val="24"/>
          <w:szCs w:val="24"/>
        </w:rPr>
        <w:t>equipe  (</w:t>
      </w:r>
      <w:proofErr w:type="gramEnd"/>
      <w:r>
        <w:rPr>
          <w:rFonts w:ascii="Times New Roman" w:eastAsia="Times New Roman" w:hAnsi="Times New Roman" w:cs="Times New Roman"/>
          <w:sz w:val="24"/>
          <w:szCs w:val="24"/>
        </w:rPr>
        <w:t>Andrade, 2023).</w:t>
      </w:r>
    </w:p>
    <w:p w14:paraId="3DFFD697"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aspecto trazido nos documentos do TCU diz respeito à seleção desses líderes. A nomeação deve ser transparente e baseada no mérito. Isso, aliás, ainda é um desafio em várias instituições, que mantêm critérios políticos como fator predominante. O problema disso é que, sem legitimidade técnica e sem compromisso com o coletivo, o líder não consegue sustentar boas práticas. Ou pior: pode até inviabilizá-las (Brasil, 2014; 2018).</w:t>
      </w:r>
    </w:p>
    <w:p w14:paraId="1AD83972"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a liderança também envolve mantê-la viva. E isso se faz por meio da capacitação contínua, da escuta interna e da abertura ao diálogo. Não é simples. Mas é necessário se a meta for fortalecer a governança de forma estável e duradoura.</w:t>
      </w:r>
    </w:p>
    <w:p w14:paraId="7420950A"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t>3 METODOLOGIA</w:t>
      </w:r>
    </w:p>
    <w:p w14:paraId="21029D8A" w14:textId="77777777" w:rsidR="003A2854" w:rsidRDefault="00000000">
      <w:pPr>
        <w:widowControl w:val="0"/>
        <w:pBdr>
          <w:top w:val="nil"/>
          <w:left w:val="nil"/>
          <w:bottom w:val="nil"/>
          <w:right w:val="nil"/>
          <w:between w:val="nil"/>
        </w:pBdr>
        <w:spacing w:after="0" w:line="360" w:lineRule="auto"/>
        <w:ind w:left="107" w:right="92" w:firstLine="6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buscar entender de que forma a liderança tem sido tratada como um mecanismo de governança pública no âmbito das universidades públicas brasileiras, decidiu-se pela adoção de uma estratégia metodológica que combinasse revisão sistemática da literatura com análise bibliométrica. Não foi uma escolha aleatória — a ideia era reunir, ao mesmo tempo, uma leitura crítica do conteúdo e um panorama mais objetivo sobre o volume e perfil das produções acadêmicas relacionadas ao tema. Na análise bibliométrica, utilizou-se o método de análise de citações visando o impacto da produção científica na comunidade, o que permite proceder as análises sobre quem influencia quem e assim perceber quais são com contribuições mais efetivas (Leal, 2005)</w:t>
      </w:r>
    </w:p>
    <w:p w14:paraId="7C62892D"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bases de dados selecionadas foram a CAPES, a </w:t>
      </w:r>
      <w:proofErr w:type="spellStart"/>
      <w:r>
        <w:rPr>
          <w:rFonts w:ascii="Times New Roman" w:eastAsia="Times New Roman" w:hAnsi="Times New Roman" w:cs="Times New Roman"/>
          <w:sz w:val="24"/>
          <w:szCs w:val="24"/>
        </w:rPr>
        <w:t>Scielo</w:t>
      </w:r>
      <w:proofErr w:type="spellEnd"/>
      <w:r>
        <w:rPr>
          <w:rFonts w:ascii="Times New Roman" w:eastAsia="Times New Roman" w:hAnsi="Times New Roman" w:cs="Times New Roman"/>
          <w:sz w:val="24"/>
          <w:szCs w:val="24"/>
        </w:rPr>
        <w:t xml:space="preserve"> e a BDTD. A escolha se deu tanto pela amplitude e relevância dessas fontes para pesquisas na </w:t>
      </w:r>
      <w:r>
        <w:rPr>
          <w:rFonts w:ascii="Times New Roman" w:eastAsia="Times New Roman" w:hAnsi="Times New Roman" w:cs="Times New Roman"/>
          <w:sz w:val="24"/>
          <w:szCs w:val="24"/>
        </w:rPr>
        <w:lastRenderedPageBreak/>
        <w:t>área de gestão pública quanto pela facilidade de acesso aberto aos textos completos. Isso acabou sendo decisivo, principalmente por permitir leituras integrais — algo que evita interpretações baseadas apenas em resumos ou títulos, o que acontece com certa frequência em outras pesquisas.</w:t>
      </w:r>
    </w:p>
    <w:p w14:paraId="6B357F9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período analisado foi de 2019 a 2023. A intenção era focar nos trabalhos mais recentes, com o objetivo de captar possíveis avanços — ou mesmo estagnações — no modo como a liderança tem sido abordada nesse contexto específico da governança. Durante as buscas, utilizou-se a combinação de termos como “governança pública”, “universidade pública”, “liderança” e “TCU”, com o auxílio de operadores booleanos para refinar os resultados. Em muitos casos, foi necessário ajustar as palavras-chave de acordo com as especificidades de cada base — algo que, aliás, exige mais tempo do que se imagina.</w:t>
      </w:r>
    </w:p>
    <w:p w14:paraId="7E6C30BF"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dar um grau maior de rigor ao processo, optou-se pelo uso do método </w:t>
      </w:r>
      <w:proofErr w:type="spellStart"/>
      <w:r>
        <w:rPr>
          <w:rFonts w:ascii="Times New Roman" w:eastAsia="Times New Roman" w:hAnsi="Times New Roman" w:cs="Times New Roman"/>
          <w:sz w:val="24"/>
          <w:szCs w:val="24"/>
        </w:rPr>
        <w:t>Proknow</w:t>
      </w:r>
      <w:proofErr w:type="spellEnd"/>
      <w:r>
        <w:rPr>
          <w:rFonts w:ascii="Times New Roman" w:eastAsia="Times New Roman" w:hAnsi="Times New Roman" w:cs="Times New Roman"/>
          <w:sz w:val="24"/>
          <w:szCs w:val="24"/>
        </w:rPr>
        <w:t>-C (</w:t>
      </w:r>
      <w:proofErr w:type="spellStart"/>
      <w:r>
        <w:rPr>
          <w:rFonts w:ascii="Times New Roman" w:eastAsia="Times New Roman" w:hAnsi="Times New Roman" w:cs="Times New Roman"/>
          <w:i/>
          <w:sz w:val="24"/>
          <w:szCs w:val="24"/>
        </w:rPr>
        <w:t>Knowledge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Development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Process-Constructivist</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que tem se mostrado uma alternativa bastante sólida para estruturação de portfólios bibliográficos. O processo envolveu etapas como descarte de duplicações, análise de aderência temática, avaliação preliminar da relevância e, sempre que necessário, leitura completa do material. Um detalhe que parece pequeno, mas fez diferença: muitos trabalhos retornados nas buscas, mesmo contendo os termos escolhidos, não tratavam do tema central da pesquisa. Por isso, boa parte da filtragem foi feita manualmente, de forma paciente.</w:t>
      </w:r>
    </w:p>
    <w:p w14:paraId="1797037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final da triagem, foram considerados 72 documentos relevantes: 61 artigos e 11 trabalhos acadêmicos (entre dissertações e teses). A análise desse material levou em conta dois critérios principais — aderência temática e impacto, este último medido com apoio de consultas no Google Acadêmico. Ainda assim, vale dizer que nem todas as produções mais relevantes, segundo nosso julgamento qualitativo, apareciam entre as mais citadas. E, por isso mesmo, foram incluídas no corpus final da análise.</w:t>
      </w:r>
    </w:p>
    <w:p w14:paraId="176C3A8E"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organização das referências contou com o auxílio do </w:t>
      </w:r>
      <w:proofErr w:type="spellStart"/>
      <w:r>
        <w:rPr>
          <w:rFonts w:ascii="Times New Roman" w:eastAsia="Times New Roman" w:hAnsi="Times New Roman" w:cs="Times New Roman"/>
          <w:sz w:val="24"/>
          <w:szCs w:val="24"/>
        </w:rPr>
        <w:t>EndNote</w:t>
      </w:r>
      <w:proofErr w:type="spellEnd"/>
      <w:r>
        <w:rPr>
          <w:rFonts w:ascii="Times New Roman" w:eastAsia="Times New Roman" w:hAnsi="Times New Roman" w:cs="Times New Roman"/>
          <w:sz w:val="24"/>
          <w:szCs w:val="24"/>
        </w:rPr>
        <w:t xml:space="preserve">, especialmente para controle de duplicações e classificação por autor e ano. Outra decisão tomada foi a de manter no estudo apenas documentos com acesso livre. Em tese, isso pode ter limitado o volume total de obras analisadas, mas, por outro </w:t>
      </w:r>
      <w:r>
        <w:rPr>
          <w:rFonts w:ascii="Times New Roman" w:eastAsia="Times New Roman" w:hAnsi="Times New Roman" w:cs="Times New Roman"/>
          <w:sz w:val="24"/>
          <w:szCs w:val="24"/>
        </w:rPr>
        <w:lastRenderedPageBreak/>
        <w:t>lado, garantiu uma leitura cuidadosa de tudo que foi incluído — o que, no fim das contas, pesou mais.</w:t>
      </w:r>
    </w:p>
    <w:p w14:paraId="2E0F2304" w14:textId="77777777" w:rsidR="003A2854" w:rsidRDefault="00000000">
      <w:pPr>
        <w:spacing w:after="0" w:line="360" w:lineRule="auto"/>
        <w:rPr>
          <w:rFonts w:ascii="Cambria" w:eastAsia="Cambria" w:hAnsi="Cambria" w:cs="Cambria"/>
          <w:sz w:val="28"/>
          <w:szCs w:val="28"/>
        </w:rPr>
      </w:pPr>
      <w:r>
        <w:rPr>
          <w:rFonts w:ascii="Cambria" w:eastAsia="Cambria" w:hAnsi="Cambria" w:cs="Cambria"/>
          <w:b/>
          <w:sz w:val="28"/>
          <w:szCs w:val="28"/>
        </w:rPr>
        <w:t>4 RESULTADOS E DISCUSSÃO</w:t>
      </w:r>
    </w:p>
    <w:p w14:paraId="15BF2A98" w14:textId="77777777" w:rsidR="003A2854" w:rsidRDefault="00000000">
      <w:pPr>
        <w:pBdr>
          <w:top w:val="nil"/>
          <w:left w:val="nil"/>
          <w:bottom w:val="nil"/>
          <w:right w:val="nil"/>
          <w:between w:val="nil"/>
        </w:pBdr>
        <w:spacing w:after="0" w:line="360" w:lineRule="auto"/>
        <w:ind w:right="2"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Nas Tabelas 1, 2 e 3, são apresentadas informações retornadas a partir das palavras-chave utilizadas, filtros e operadores booleanos, como: o quantitativo de retorno por eixo; os artigos selecionados; artigos repetidos; artigos retornados sem aderência ao tema; artigos retornados sem acesso disponível.</w:t>
      </w:r>
    </w:p>
    <w:p w14:paraId="61D1D066"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pode ser observado, na Tabela 1, são apresentados os resultados obtidos a partir das pesquisas realizadas na base de dados da CAPES, quando da utilização de palavras-chave voltadas para o eixo 1, mais amplo (Governança pública, em qualquer campo), onde não foi utilizado filtro. O resultado dessa condição foi de 5.646 artigos retornados. A partir de então foram utilizados filtros com foco no eixo 2, mais específico (Governança pública, no título), para a área pretendida da pesquisa. Com esta condição, foram retornados 222 artigos, sendo selecionados 55 deles, 41 estavam repetidos, e 126, a partir da leitura do resumo, não estavam aderentes ao tema.</w:t>
      </w:r>
    </w:p>
    <w:p w14:paraId="4934C853"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com foco no eixo 2, utilizando a condição para “governança pública” e “universidade pública” no título, obteve-se como resultado 19 artigos, sendo 3 selecionados, 8 repetidos e 8 sem aderência ao tema. Buscando ainda mais refinamento, utilizou-se a condição, ainda para o eixo 2, governança pública, no título, e em qualquer campo, liderança. Desta condição ocorreram 2 artigos retornados, onde 1 foi selecionado e 1 a partir da leitura do resumo, percebeu-se que o trabalho não tinha aderência ao tema pesquisado.</w:t>
      </w:r>
    </w:p>
    <w:p w14:paraId="08F5E7E1"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fim foram selecionados 24,27% dos 243 artigos retornados, 20,16% artigos repetidos e 55,55% do total de artigos retornados, não apresentaram aderência necessária ao trabalho ora apresentado e por este motivo foram descartados.</w:t>
      </w:r>
    </w:p>
    <w:p w14:paraId="5CCD6067" w14:textId="77777777" w:rsidR="003A2854" w:rsidRDefault="00000000">
      <w:pPr>
        <w:rPr>
          <w:rFonts w:ascii="Times New Roman" w:eastAsia="Times New Roman" w:hAnsi="Times New Roman" w:cs="Times New Roman"/>
          <w:sz w:val="24"/>
          <w:szCs w:val="24"/>
        </w:rPr>
      </w:pPr>
      <w:bookmarkStart w:id="6" w:name="_ghpqgo3vjxwt" w:colFirst="0" w:colLast="0"/>
      <w:bookmarkEnd w:id="6"/>
      <w:r>
        <w:rPr>
          <w:rFonts w:ascii="Cambria" w:eastAsia="Cambria" w:hAnsi="Cambria" w:cs="Cambria"/>
          <w:sz w:val="24"/>
          <w:szCs w:val="24"/>
        </w:rPr>
        <w:t>Tabela 1 - Resumo dos retornos obtidos a partir da pesquisa na base de dados da Capes</w:t>
      </w:r>
    </w:p>
    <w:p w14:paraId="4DF83C10" w14:textId="77777777" w:rsidR="003A2854" w:rsidRDefault="00000000">
      <w:pPr>
        <w:rPr>
          <w:sz w:val="20"/>
          <w:szCs w:val="20"/>
        </w:rPr>
      </w:pPr>
      <w:r>
        <w:rPr>
          <w:noProof/>
          <w:sz w:val="20"/>
          <w:szCs w:val="20"/>
        </w:rPr>
        <w:lastRenderedPageBreak/>
        <w:drawing>
          <wp:inline distT="0" distB="0" distL="114300" distR="114300" wp14:anchorId="265C6C8B" wp14:editId="42BCE218">
            <wp:extent cx="4914265" cy="284226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914265" cy="2842260"/>
                    </a:xfrm>
                    <a:prstGeom prst="rect">
                      <a:avLst/>
                    </a:prstGeom>
                    <a:ln/>
                  </pic:spPr>
                </pic:pic>
              </a:graphicData>
            </a:graphic>
          </wp:inline>
        </w:drawing>
      </w:r>
    </w:p>
    <w:p w14:paraId="47251A30" w14:textId="77777777" w:rsidR="003A2854" w:rsidRDefault="00000000">
      <w:pPr>
        <w:ind w:right="543"/>
        <w:rPr>
          <w:rFonts w:ascii="Cambria" w:eastAsia="Cambria" w:hAnsi="Cambria" w:cs="Cambria"/>
          <w:sz w:val="20"/>
          <w:szCs w:val="20"/>
        </w:rPr>
      </w:pPr>
      <w:r>
        <w:rPr>
          <w:rFonts w:ascii="Cambria" w:eastAsia="Cambria" w:hAnsi="Cambria" w:cs="Cambria"/>
          <w:sz w:val="20"/>
          <w:szCs w:val="20"/>
        </w:rPr>
        <w:t>Fonte:</w:t>
      </w:r>
      <w:r>
        <w:rPr>
          <w:rFonts w:ascii="Cambria" w:eastAsia="Cambria" w:hAnsi="Cambria" w:cs="Cambria"/>
          <w:b/>
          <w:sz w:val="20"/>
          <w:szCs w:val="20"/>
        </w:rPr>
        <w:t xml:space="preserve"> </w:t>
      </w:r>
      <w:r>
        <w:rPr>
          <w:rFonts w:ascii="Cambria" w:eastAsia="Cambria" w:hAnsi="Cambria" w:cs="Cambria"/>
          <w:sz w:val="20"/>
          <w:szCs w:val="20"/>
        </w:rPr>
        <w:t>Elaborado pelas autoras (2023).</w:t>
      </w:r>
    </w:p>
    <w:p w14:paraId="756A7E3F"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 sentido ficou evidente que apesar do volume expressivo de produção científica em governança pública no geral, percebe-se uma dispersão conceitual e temática que dificulta a aproximação efetiva entre os eixos governança, liderança e o ambiente universitário evidenciando-se que mesmo em bases amplas e multidisciplinares como a CAPES não foi possível identificar uma densidade teórica suficiente que atendessem ao tema central da pesquisa demonstrado no baixo número de retornados que atendessem aos critérios estabelecidos.</w:t>
      </w:r>
    </w:p>
    <w:p w14:paraId="117A3CC9"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Tabela 2, a exemplo da tabela 1, demonstra tudo que foi identificado no momento da pesquisa, tendo por base de consulta a plataforma SciELO. O mesmo protocolo foi utilizado, o que retornou, em uma primeira consulta sem filtros, por ser mais amplo, neste caso para o eixo 1, 357 artigos. A partir de então, aplicaram-se as condições de refinamento tendo como foco o eixo 2, agora com mais refinamento, utilizando a condição Liderança e Universidade pública OU Governança pública, retornaram 58 artigos, sendo 2 selecionados, 6 repetidos e 50 sem aderência ao tema da pesquisa. Do total de 58 artigos, obtiveram-se 3,44% de artigos selecionados, 10,34% repetidos e 86,20% de artigos nos quais o conteúdo não tinha aderência ao tema.</w:t>
      </w:r>
    </w:p>
    <w:p w14:paraId="197AB547" w14:textId="77777777" w:rsidR="003A2854" w:rsidRDefault="00000000">
      <w:pPr>
        <w:keepNext/>
        <w:pBdr>
          <w:top w:val="nil"/>
          <w:left w:val="nil"/>
          <w:bottom w:val="nil"/>
          <w:right w:val="nil"/>
          <w:between w:val="nil"/>
        </w:pBdr>
        <w:spacing w:after="0" w:line="240" w:lineRule="auto"/>
        <w:rPr>
          <w:rFonts w:ascii="Cambria" w:eastAsia="Cambria" w:hAnsi="Cambria" w:cs="Cambria"/>
          <w:color w:val="000000"/>
          <w:sz w:val="24"/>
          <w:szCs w:val="24"/>
        </w:rPr>
      </w:pPr>
      <w:bookmarkStart w:id="7" w:name="_5qrgi3sqd5v7" w:colFirst="0" w:colLast="0"/>
      <w:bookmarkEnd w:id="7"/>
      <w:r>
        <w:rPr>
          <w:rFonts w:ascii="Cambria" w:eastAsia="Cambria" w:hAnsi="Cambria" w:cs="Cambria"/>
          <w:color w:val="000000"/>
          <w:sz w:val="24"/>
          <w:szCs w:val="24"/>
        </w:rPr>
        <w:lastRenderedPageBreak/>
        <w:t>Tabela 2- Resumo dos retornos obtidos a partir da pesquisa na base de dados SciELO</w:t>
      </w:r>
    </w:p>
    <w:p w14:paraId="1389187F" w14:textId="77777777" w:rsidR="003A2854" w:rsidRDefault="00000000">
      <w:pPr>
        <w:spacing w:after="0"/>
        <w:ind w:right="543" w:hanging="142"/>
        <w:jc w:val="center"/>
        <w:rPr>
          <w:sz w:val="20"/>
          <w:szCs w:val="20"/>
        </w:rPr>
      </w:pPr>
      <w:r>
        <w:rPr>
          <w:noProof/>
          <w:sz w:val="20"/>
          <w:szCs w:val="20"/>
        </w:rPr>
        <w:drawing>
          <wp:inline distT="0" distB="0" distL="114300" distR="114300" wp14:anchorId="633A8523" wp14:editId="5712886C">
            <wp:extent cx="5076190" cy="24511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076190" cy="2451100"/>
                    </a:xfrm>
                    <a:prstGeom prst="rect">
                      <a:avLst/>
                    </a:prstGeom>
                    <a:ln/>
                  </pic:spPr>
                </pic:pic>
              </a:graphicData>
            </a:graphic>
          </wp:inline>
        </w:drawing>
      </w:r>
    </w:p>
    <w:p w14:paraId="0D7D805B" w14:textId="77777777" w:rsidR="003A2854" w:rsidRDefault="00000000">
      <w:pPr>
        <w:ind w:right="543"/>
        <w:rPr>
          <w:rFonts w:ascii="Cambria" w:eastAsia="Cambria" w:hAnsi="Cambria" w:cs="Cambria"/>
          <w:sz w:val="20"/>
          <w:szCs w:val="20"/>
        </w:rPr>
      </w:pPr>
      <w:r>
        <w:rPr>
          <w:rFonts w:ascii="Cambria" w:eastAsia="Cambria" w:hAnsi="Cambria" w:cs="Cambria"/>
          <w:sz w:val="20"/>
          <w:szCs w:val="20"/>
        </w:rPr>
        <w:t>Fonte: Elaborado pelas autoras (2023).</w:t>
      </w:r>
    </w:p>
    <w:p w14:paraId="22B1C9B9"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ser a SciELO é uma base voltada para periódicos científicos de alto impacto na América Latina, voltados para temas contemporâneos e de interesse público, o resultado foi particularmente relevante, </w:t>
      </w:r>
      <w:proofErr w:type="gramStart"/>
      <w:r>
        <w:rPr>
          <w:rFonts w:ascii="Times New Roman" w:eastAsia="Times New Roman" w:hAnsi="Times New Roman" w:cs="Times New Roman"/>
          <w:color w:val="000000"/>
          <w:sz w:val="24"/>
          <w:szCs w:val="24"/>
        </w:rPr>
        <w:t>mas mesmo assim</w:t>
      </w:r>
      <w:proofErr w:type="gramEnd"/>
      <w:r>
        <w:rPr>
          <w:rFonts w:ascii="Times New Roman" w:eastAsia="Times New Roman" w:hAnsi="Times New Roman" w:cs="Times New Roman"/>
          <w:color w:val="000000"/>
          <w:sz w:val="24"/>
          <w:szCs w:val="24"/>
        </w:rPr>
        <w:t xml:space="preserve"> a discussão acadêmica voltada para estudos sobre liderança aplicada à governança universitária, ainda apresenta descompasso entre a evolução normativa da governança pública no Brasil e a produção científica, mais particularmente no que diz respeito ao mecanismo liderança.</w:t>
      </w:r>
    </w:p>
    <w:p w14:paraId="19948D8F" w14:textId="77777777" w:rsidR="003A2854"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fim, na Tabela 3, tendo por base de pesquisa a BDTD, sem a aplicação de filtros, obtiveram-se 3.580 artigos para o atendimento do eixo 1, a partir dos refinamentos, retornaram 123 artigos, sendo 11 selecionados, 5 repetidos e 107 sem aderência. Como resultado desta etapa da pesquisa, temos que, dos 123 artigos retornados, apenas 8,94% atenderam ao protocolo definido a partir do </w:t>
      </w:r>
      <w:proofErr w:type="spellStart"/>
      <w:r>
        <w:rPr>
          <w:rFonts w:ascii="Times New Roman" w:eastAsia="Times New Roman" w:hAnsi="Times New Roman" w:cs="Times New Roman"/>
          <w:color w:val="000000"/>
          <w:sz w:val="24"/>
          <w:szCs w:val="24"/>
        </w:rPr>
        <w:t>Procknow</w:t>
      </w:r>
      <w:proofErr w:type="spellEnd"/>
      <w:r>
        <w:rPr>
          <w:rFonts w:ascii="Times New Roman" w:eastAsia="Times New Roman" w:hAnsi="Times New Roman" w:cs="Times New Roman"/>
          <w:color w:val="000000"/>
          <w:sz w:val="24"/>
          <w:szCs w:val="24"/>
        </w:rPr>
        <w:t>-C, 4,06% foram de artigos repetidos e 86,99% compostos por artigos que seu conteúdo, não apresentavam a aderência necessárias ao tema da pesquisa e por este motivo foram descartados, assim como os artigos repetidos.</w:t>
      </w:r>
    </w:p>
    <w:p w14:paraId="73076822" w14:textId="77777777" w:rsidR="003A2854" w:rsidRDefault="00000000">
      <w:pPr>
        <w:keepNext/>
        <w:pBdr>
          <w:top w:val="nil"/>
          <w:left w:val="nil"/>
          <w:bottom w:val="nil"/>
          <w:right w:val="nil"/>
          <w:between w:val="nil"/>
        </w:pBdr>
        <w:spacing w:after="0" w:line="240" w:lineRule="auto"/>
        <w:rPr>
          <w:rFonts w:ascii="Cambria" w:eastAsia="Cambria" w:hAnsi="Cambria" w:cs="Cambria"/>
          <w:color w:val="000000"/>
          <w:sz w:val="24"/>
          <w:szCs w:val="24"/>
        </w:rPr>
      </w:pPr>
      <w:bookmarkStart w:id="8" w:name="_1zkjwftpww77" w:colFirst="0" w:colLast="0"/>
      <w:bookmarkEnd w:id="8"/>
      <w:r>
        <w:rPr>
          <w:rFonts w:ascii="Cambria" w:eastAsia="Cambria" w:hAnsi="Cambria" w:cs="Cambria"/>
          <w:color w:val="000000"/>
          <w:sz w:val="24"/>
          <w:szCs w:val="24"/>
        </w:rPr>
        <w:lastRenderedPageBreak/>
        <w:t>Tabela 3 Resumo dos retornos obtidos a partir da pesquisa na base de dados BDTD</w:t>
      </w:r>
    </w:p>
    <w:p w14:paraId="7E32E199" w14:textId="77777777" w:rsidR="003A2854" w:rsidRDefault="00000000">
      <w:pPr>
        <w:pBdr>
          <w:top w:val="nil"/>
          <w:left w:val="nil"/>
          <w:bottom w:val="nil"/>
          <w:right w:val="nil"/>
          <w:between w:val="nil"/>
        </w:pBdr>
        <w:spacing w:before="7" w:after="120" w:line="240" w:lineRule="auto"/>
        <w:jc w:val="center"/>
        <w:rPr>
          <w:rFonts w:ascii="Cambria" w:eastAsia="Cambria" w:hAnsi="Cambria" w:cs="Cambria"/>
          <w:color w:val="000000"/>
          <w:sz w:val="20"/>
          <w:szCs w:val="20"/>
        </w:rPr>
      </w:pPr>
      <w:r>
        <w:rPr>
          <w:rFonts w:ascii="Cambria" w:eastAsia="Cambria" w:hAnsi="Cambria" w:cs="Cambria"/>
          <w:noProof/>
          <w:color w:val="000000"/>
          <w:sz w:val="20"/>
          <w:szCs w:val="20"/>
        </w:rPr>
        <w:drawing>
          <wp:inline distT="0" distB="0" distL="114300" distR="114300" wp14:anchorId="7D0888F9" wp14:editId="4B7BAE52">
            <wp:extent cx="4808220" cy="29337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808220" cy="2933700"/>
                    </a:xfrm>
                    <a:prstGeom prst="rect">
                      <a:avLst/>
                    </a:prstGeom>
                    <a:ln/>
                  </pic:spPr>
                </pic:pic>
              </a:graphicData>
            </a:graphic>
          </wp:inline>
        </w:drawing>
      </w:r>
    </w:p>
    <w:p w14:paraId="0105B787" w14:textId="77777777" w:rsidR="003A2854" w:rsidRDefault="00000000">
      <w:pPr>
        <w:pBdr>
          <w:top w:val="nil"/>
          <w:left w:val="nil"/>
          <w:bottom w:val="nil"/>
          <w:right w:val="nil"/>
          <w:between w:val="nil"/>
        </w:pBdr>
        <w:spacing w:after="0" w:line="360" w:lineRule="auto"/>
        <w:ind w:firstLine="709"/>
        <w:jc w:val="both"/>
        <w:rPr>
          <w:rFonts w:ascii="Cambria" w:eastAsia="Cambria" w:hAnsi="Cambria" w:cs="Cambria"/>
          <w:color w:val="000000"/>
          <w:sz w:val="20"/>
          <w:szCs w:val="20"/>
        </w:rPr>
      </w:pPr>
      <w:r>
        <w:rPr>
          <w:rFonts w:ascii="Cambria" w:eastAsia="Cambria" w:hAnsi="Cambria" w:cs="Cambria"/>
          <w:color w:val="000000"/>
          <w:sz w:val="20"/>
          <w:szCs w:val="20"/>
        </w:rPr>
        <w:t>Fonte: Elaborado pela autora (2023)</w:t>
      </w:r>
    </w:p>
    <w:p w14:paraId="535E5CC8" w14:textId="77777777" w:rsidR="003A2854" w:rsidRDefault="0000000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Mesmo com o expressivo retorno obtido na base de dados BDTD quando da consulta sem aplicação de filtros, o número de selecionados que tivessem aderência ao tema foi inexpressivo. Esse baixo retorno sugere que a produção científica voltada para governança pública, liderança, enquanto mecanismo e universidade pública se mostra insignificante. Mesmo a base BDTD concentrando produções acadêmicas de mestrado e doutorado, um ambiente propício para a geração de discussões com maior profundidade teórica e ineditismo, a presença simultânea dos termos “liderança”, “governança pública” e “universidade pública” ainda é escasso.</w:t>
      </w:r>
    </w:p>
    <w:p w14:paraId="661A3AF9" w14:textId="77777777" w:rsidR="003A2854" w:rsidRDefault="0000000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No que diz respeito aos anos de publicação, é importante destacar as informações apresentadas no Quadro 2, que revelam a quantidade de artigos recuperados por ano. É fundamental notar que, ao definirmos o período de filtro como sendo de 2019 a 2023 na base de dados da CAPES, obtivemos um retorno de apenas um artigo no ano de 2021, que abordou de forma mais detalhada o tema de pesquisa. </w:t>
      </w:r>
    </w:p>
    <w:p w14:paraId="1755515B" w14:textId="77777777" w:rsidR="003A2854" w:rsidRDefault="00000000">
      <w:pPr>
        <w:pBdr>
          <w:top w:val="nil"/>
          <w:left w:val="nil"/>
          <w:bottom w:val="nil"/>
          <w:right w:val="nil"/>
          <w:between w:val="nil"/>
        </w:pBdr>
        <w:spacing w:after="0" w:line="240" w:lineRule="auto"/>
        <w:rPr>
          <w:rFonts w:ascii="Cambria" w:eastAsia="Cambria" w:hAnsi="Cambria" w:cs="Cambria"/>
          <w:color w:val="000000"/>
          <w:sz w:val="24"/>
          <w:szCs w:val="24"/>
        </w:rPr>
      </w:pPr>
      <w:bookmarkStart w:id="9" w:name="_3ftttmm9zica" w:colFirst="0" w:colLast="0"/>
      <w:bookmarkEnd w:id="9"/>
      <w:r>
        <w:rPr>
          <w:rFonts w:ascii="Cambria" w:eastAsia="Cambria" w:hAnsi="Cambria" w:cs="Cambria"/>
          <w:color w:val="000000"/>
          <w:sz w:val="24"/>
          <w:szCs w:val="24"/>
        </w:rPr>
        <w:t xml:space="preserve">Quadro 2 – Relação de artigos selecionados com autoria, ano de publicação e quantitativo de citações. </w:t>
      </w:r>
    </w:p>
    <w:tbl>
      <w:tblPr>
        <w:tblStyle w:val="a"/>
        <w:tblW w:w="850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1843"/>
        <w:gridCol w:w="1276"/>
        <w:gridCol w:w="992"/>
        <w:gridCol w:w="1559"/>
      </w:tblGrid>
      <w:tr w:rsidR="003A2854" w14:paraId="31669712" w14:textId="77777777">
        <w:tc>
          <w:tcPr>
            <w:tcW w:w="2836" w:type="dxa"/>
          </w:tcPr>
          <w:p w14:paraId="3F1EBCF1"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Títulos dos artigos selecionados</w:t>
            </w:r>
          </w:p>
        </w:tc>
        <w:tc>
          <w:tcPr>
            <w:tcW w:w="1843" w:type="dxa"/>
          </w:tcPr>
          <w:p w14:paraId="19433BD3"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Autores</w:t>
            </w:r>
          </w:p>
        </w:tc>
        <w:tc>
          <w:tcPr>
            <w:tcW w:w="1276" w:type="dxa"/>
          </w:tcPr>
          <w:p w14:paraId="435AD210"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Ano de publicação</w:t>
            </w:r>
          </w:p>
        </w:tc>
        <w:tc>
          <w:tcPr>
            <w:tcW w:w="992" w:type="dxa"/>
          </w:tcPr>
          <w:p w14:paraId="0E398370" w14:textId="77777777" w:rsidR="003A2854" w:rsidRDefault="00000000">
            <w:pPr>
              <w:ind w:firstLine="36"/>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Nº Citações</w:t>
            </w:r>
          </w:p>
        </w:tc>
        <w:tc>
          <w:tcPr>
            <w:tcW w:w="1559" w:type="dxa"/>
          </w:tcPr>
          <w:p w14:paraId="4F740813" w14:textId="77777777" w:rsidR="003A2854" w:rsidRDefault="00000000">
            <w:pPr>
              <w:ind w:firstLine="34"/>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Disponível</w:t>
            </w:r>
          </w:p>
        </w:tc>
      </w:tr>
      <w:tr w:rsidR="003A2854" w14:paraId="08962720" w14:textId="77777777">
        <w:tc>
          <w:tcPr>
            <w:tcW w:w="2836" w:type="dxa"/>
          </w:tcPr>
          <w:p w14:paraId="47BE6308"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New </w:t>
            </w:r>
            <w:proofErr w:type="spellStart"/>
            <w:r>
              <w:rPr>
                <w:rFonts w:ascii="Times New Roman" w:eastAsia="Times New Roman" w:hAnsi="Times New Roman" w:cs="Times New Roman"/>
                <w:sz w:val="20"/>
                <w:szCs w:val="20"/>
              </w:rPr>
              <w:t>Public</w:t>
            </w:r>
            <w:proofErr w:type="spellEnd"/>
            <w:r>
              <w:rPr>
                <w:rFonts w:ascii="Times New Roman" w:eastAsia="Times New Roman" w:hAnsi="Times New Roman" w:cs="Times New Roman"/>
                <w:sz w:val="20"/>
                <w:szCs w:val="20"/>
              </w:rPr>
              <w:t xml:space="preserve"> Governance: Melhoria da gestão, transparência e qualidade dos serviços públicos.</w:t>
            </w:r>
          </w:p>
        </w:tc>
        <w:tc>
          <w:tcPr>
            <w:tcW w:w="1843" w:type="dxa"/>
          </w:tcPr>
          <w:p w14:paraId="6DEA0D69" w14:textId="77777777" w:rsidR="003A2854" w:rsidRDefault="00000000">
            <w:pPr>
              <w:ind w:left="31" w:firstLine="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Matías-Pereira, J.</w:t>
            </w:r>
          </w:p>
        </w:tc>
        <w:tc>
          <w:tcPr>
            <w:tcW w:w="1276" w:type="dxa"/>
          </w:tcPr>
          <w:p w14:paraId="47115760" w14:textId="77777777" w:rsidR="003A2854" w:rsidRDefault="00000000">
            <w:pPr>
              <w:ind w:right="178" w:firstLine="3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992" w:type="dxa"/>
          </w:tcPr>
          <w:p w14:paraId="7F51DCCE"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59" w:type="dxa"/>
          </w:tcPr>
          <w:p w14:paraId="0290D05D" w14:textId="77777777" w:rsidR="003A2854" w:rsidRDefault="00000000">
            <w:pPr>
              <w:ind w:lef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https://www.gigapp.org/ewp/index.php/GIGAPP-EWP/article/view/287 </w:t>
            </w:r>
          </w:p>
        </w:tc>
      </w:tr>
      <w:tr w:rsidR="003A2854" w14:paraId="4EA8D95D" w14:textId="77777777">
        <w:tc>
          <w:tcPr>
            <w:tcW w:w="2836" w:type="dxa"/>
          </w:tcPr>
          <w:p w14:paraId="0367B7F8" w14:textId="77777777" w:rsidR="003A2854" w:rsidRDefault="00000000">
            <w:pPr>
              <w:ind w:left="32"/>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Accountability</w:t>
            </w:r>
            <w:proofErr w:type="spellEnd"/>
            <w:r>
              <w:rPr>
                <w:rFonts w:ascii="Times New Roman" w:eastAsia="Times New Roman" w:hAnsi="Times New Roman" w:cs="Times New Roman"/>
                <w:sz w:val="20"/>
                <w:szCs w:val="20"/>
              </w:rPr>
              <w:t xml:space="preserve">: uma análise sobre as práticas de governança </w:t>
            </w:r>
            <w:r>
              <w:rPr>
                <w:rFonts w:ascii="Times New Roman" w:eastAsia="Times New Roman" w:hAnsi="Times New Roman" w:cs="Times New Roman"/>
                <w:sz w:val="20"/>
                <w:szCs w:val="20"/>
              </w:rPr>
              <w:lastRenderedPageBreak/>
              <w:t>pública em uma universidade federal</w:t>
            </w:r>
          </w:p>
        </w:tc>
        <w:tc>
          <w:tcPr>
            <w:tcW w:w="1843" w:type="dxa"/>
          </w:tcPr>
          <w:p w14:paraId="3D095830" w14:textId="77777777" w:rsidR="003A2854" w:rsidRDefault="00000000">
            <w:pPr>
              <w:ind w:firstLine="4"/>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lastRenderedPageBreak/>
              <w:t xml:space="preserve">  Colombo, Paulo </w:t>
            </w:r>
            <w:proofErr w:type="spellStart"/>
            <w:r>
              <w:rPr>
                <w:rFonts w:ascii="Times New Roman" w:eastAsia="Times New Roman" w:hAnsi="Times New Roman" w:cs="Times New Roman"/>
                <w:sz w:val="20"/>
                <w:szCs w:val="20"/>
              </w:rPr>
              <w:t>Keese</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color w:val="222222"/>
                <w:sz w:val="20"/>
                <w:szCs w:val="20"/>
                <w:highlight w:val="white"/>
              </w:rPr>
              <w:t>et al.</w:t>
            </w:r>
          </w:p>
        </w:tc>
        <w:tc>
          <w:tcPr>
            <w:tcW w:w="1276" w:type="dxa"/>
          </w:tcPr>
          <w:p w14:paraId="2A88EF60" w14:textId="77777777" w:rsidR="003A2854" w:rsidRDefault="00000000">
            <w:pPr>
              <w:ind w:right="178" w:firstLine="3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992" w:type="dxa"/>
          </w:tcPr>
          <w:p w14:paraId="625402D3"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59" w:type="dxa"/>
          </w:tcPr>
          <w:p w14:paraId="4BFD4765" w14:textId="77777777" w:rsidR="003A2854" w:rsidRDefault="00000000">
            <w:pPr>
              <w:ind w:left="33"/>
              <w:rPr>
                <w:rFonts w:ascii="Times New Roman" w:eastAsia="Times New Roman" w:hAnsi="Times New Roman" w:cs="Times New Roman"/>
                <w:sz w:val="20"/>
                <w:szCs w:val="20"/>
              </w:rPr>
            </w:pPr>
            <w:r>
              <w:rPr>
                <w:rFonts w:ascii="Times New Roman" w:eastAsia="Times New Roman" w:hAnsi="Times New Roman" w:cs="Times New Roman"/>
                <w:sz w:val="20"/>
                <w:szCs w:val="20"/>
              </w:rPr>
              <w:t>https://ojs.revistagesec.org.br/se</w:t>
            </w:r>
            <w:r>
              <w:rPr>
                <w:rFonts w:ascii="Times New Roman" w:eastAsia="Times New Roman" w:hAnsi="Times New Roman" w:cs="Times New Roman"/>
                <w:sz w:val="20"/>
                <w:szCs w:val="20"/>
              </w:rPr>
              <w:lastRenderedPageBreak/>
              <w:t>cretariado/article/view/2433</w:t>
            </w:r>
          </w:p>
        </w:tc>
      </w:tr>
      <w:tr w:rsidR="003A2854" w14:paraId="37EE4743" w14:textId="77777777">
        <w:tc>
          <w:tcPr>
            <w:tcW w:w="2836" w:type="dxa"/>
          </w:tcPr>
          <w:p w14:paraId="3EA79F4D"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Administração pública e governança: uma discussão teórica</w:t>
            </w:r>
          </w:p>
          <w:p w14:paraId="3F9710A2" w14:textId="77777777" w:rsidR="003A2854" w:rsidRDefault="003A2854">
            <w:pPr>
              <w:shd w:val="clear" w:color="auto" w:fill="F3F3F3"/>
              <w:rPr>
                <w:rFonts w:ascii="Times New Roman" w:eastAsia="Times New Roman" w:hAnsi="Times New Roman" w:cs="Times New Roman"/>
                <w:sz w:val="20"/>
                <w:szCs w:val="20"/>
              </w:rPr>
            </w:pPr>
          </w:p>
        </w:tc>
        <w:tc>
          <w:tcPr>
            <w:tcW w:w="1843" w:type="dxa"/>
          </w:tcPr>
          <w:p w14:paraId="2165F184" w14:textId="77777777" w:rsidR="003A2854" w:rsidRDefault="00000000">
            <w:pPr>
              <w:ind w:firstLine="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De Freitas, </w:t>
            </w:r>
            <w:proofErr w:type="spellStart"/>
            <w:r>
              <w:rPr>
                <w:rFonts w:ascii="Times New Roman" w:eastAsia="Times New Roman" w:hAnsi="Times New Roman" w:cs="Times New Roman"/>
                <w:sz w:val="20"/>
                <w:szCs w:val="20"/>
              </w:rPr>
              <w:t>Verivaldo</w:t>
            </w:r>
            <w:proofErr w:type="spellEnd"/>
            <w:r>
              <w:rPr>
                <w:rFonts w:ascii="Times New Roman" w:eastAsia="Times New Roman" w:hAnsi="Times New Roman" w:cs="Times New Roman"/>
                <w:sz w:val="20"/>
                <w:szCs w:val="20"/>
              </w:rPr>
              <w:t xml:space="preserve"> Alves; DA SILVA, Francisco Edson Rodrigues.</w:t>
            </w:r>
          </w:p>
        </w:tc>
        <w:tc>
          <w:tcPr>
            <w:tcW w:w="1276" w:type="dxa"/>
          </w:tcPr>
          <w:p w14:paraId="5EEF268C" w14:textId="77777777" w:rsidR="003A2854" w:rsidRDefault="00000000">
            <w:pPr>
              <w:ind w:left="-1705" w:right="461" w:firstLine="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992" w:type="dxa"/>
          </w:tcPr>
          <w:p w14:paraId="17A6C1A6"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59" w:type="dxa"/>
          </w:tcPr>
          <w:p w14:paraId="735FA949" w14:textId="77777777" w:rsidR="003A285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https://revistacontrole.tce.ce.gov.br/index.php/RCDA/article/view/751 </w:t>
            </w:r>
          </w:p>
        </w:tc>
      </w:tr>
      <w:tr w:rsidR="003A2854" w14:paraId="7237D980" w14:textId="77777777">
        <w:tc>
          <w:tcPr>
            <w:tcW w:w="2836" w:type="dxa"/>
          </w:tcPr>
          <w:p w14:paraId="4B30A4D7" w14:textId="77777777" w:rsidR="003A2854" w:rsidRDefault="00000000">
            <w:pPr>
              <w:ind w:left="32"/>
              <w:rPr>
                <w:rFonts w:ascii="Times New Roman" w:eastAsia="Times New Roman" w:hAnsi="Times New Roman" w:cs="Times New Roman"/>
                <w:sz w:val="20"/>
                <w:szCs w:val="20"/>
              </w:rPr>
            </w:pPr>
            <w:bookmarkStart w:id="10" w:name="_fmeyba5ntcmk" w:colFirst="0" w:colLast="0"/>
            <w:bookmarkEnd w:id="10"/>
            <w:r>
              <w:rPr>
                <w:rFonts w:ascii="Times New Roman" w:eastAsia="Times New Roman" w:hAnsi="Times New Roman" w:cs="Times New Roman"/>
                <w:sz w:val="20"/>
                <w:szCs w:val="20"/>
              </w:rPr>
              <w:t>As alterações dos modelos de Gestão Estatal e uma proposta de Conceituação de Governança da Administração Pública</w:t>
            </w:r>
          </w:p>
        </w:tc>
        <w:tc>
          <w:tcPr>
            <w:tcW w:w="1843" w:type="dxa"/>
          </w:tcPr>
          <w:p w14:paraId="24309B3B" w14:textId="77777777" w:rsidR="003A2854" w:rsidRDefault="00000000">
            <w:pPr>
              <w:ind w:firstLine="4"/>
              <w:rPr>
                <w:rFonts w:ascii="Times New Roman" w:eastAsia="Times New Roman" w:hAnsi="Times New Roman" w:cs="Times New Roman"/>
                <w:sz w:val="20"/>
                <w:szCs w:val="20"/>
              </w:rPr>
            </w:pPr>
            <w:r>
              <w:rPr>
                <w:rFonts w:ascii="Times New Roman" w:eastAsia="Times New Roman" w:hAnsi="Times New Roman" w:cs="Times New Roman"/>
                <w:sz w:val="20"/>
                <w:szCs w:val="20"/>
              </w:rPr>
              <w:t>Bertoncini, Mateus; Presente, Vinícius Rafael.</w:t>
            </w:r>
          </w:p>
        </w:tc>
        <w:tc>
          <w:tcPr>
            <w:tcW w:w="1276" w:type="dxa"/>
          </w:tcPr>
          <w:p w14:paraId="77BFF914" w14:textId="77777777" w:rsidR="003A2854" w:rsidRDefault="00000000">
            <w:pPr>
              <w:ind w:right="178" w:firstLine="3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992" w:type="dxa"/>
          </w:tcPr>
          <w:p w14:paraId="1AC35B85" w14:textId="77777777" w:rsidR="003A28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559" w:type="dxa"/>
          </w:tcPr>
          <w:p w14:paraId="539ABC55" w14:textId="77777777" w:rsidR="003A2854" w:rsidRDefault="00000000">
            <w:pPr>
              <w:ind w:left="3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https://www.scielo.br/j/seq/a/rXgPSFSLCFHhz8z5YkQgydS/ </w:t>
            </w:r>
          </w:p>
        </w:tc>
      </w:tr>
      <w:tr w:rsidR="003A2854" w14:paraId="08BE3097" w14:textId="77777777">
        <w:trPr>
          <w:trHeight w:val="1268"/>
        </w:trPr>
        <w:tc>
          <w:tcPr>
            <w:tcW w:w="2836" w:type="dxa"/>
          </w:tcPr>
          <w:p w14:paraId="639FEE6C" w14:textId="77777777" w:rsidR="003A2854" w:rsidRDefault="00000000">
            <w:pPr>
              <w:ind w:left="32"/>
              <w:rPr>
                <w:rFonts w:ascii="Times New Roman" w:eastAsia="Times New Roman" w:hAnsi="Times New Roman" w:cs="Times New Roman"/>
                <w:color w:val="000000"/>
                <w:sz w:val="20"/>
                <w:szCs w:val="20"/>
              </w:rPr>
            </w:pPr>
            <w:bookmarkStart w:id="11" w:name="_fbcecfjytkmz" w:colFirst="0" w:colLast="0"/>
            <w:bookmarkEnd w:id="11"/>
            <w:r>
              <w:rPr>
                <w:rFonts w:ascii="Times New Roman" w:eastAsia="Times New Roman" w:hAnsi="Times New Roman" w:cs="Times New Roman"/>
                <w:sz w:val="20"/>
                <w:szCs w:val="20"/>
              </w:rPr>
              <w:t>Governança Aplicada ao Setor Público: Um Estudo Bibliométrico dos Últimos Cinco Anos.</w:t>
            </w:r>
          </w:p>
        </w:tc>
        <w:tc>
          <w:tcPr>
            <w:tcW w:w="1843" w:type="dxa"/>
          </w:tcPr>
          <w:p w14:paraId="098A86DF" w14:textId="77777777" w:rsidR="003A285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Rodrigues, Glauco Oliveira </w:t>
            </w:r>
            <w:r>
              <w:rPr>
                <w:rFonts w:ascii="Times New Roman" w:eastAsia="Times New Roman" w:hAnsi="Times New Roman" w:cs="Times New Roman"/>
                <w:i/>
                <w:sz w:val="20"/>
                <w:szCs w:val="20"/>
              </w:rPr>
              <w:t>et al.</w:t>
            </w:r>
          </w:p>
        </w:tc>
        <w:tc>
          <w:tcPr>
            <w:tcW w:w="1276" w:type="dxa"/>
          </w:tcPr>
          <w:p w14:paraId="2264C020" w14:textId="77777777" w:rsidR="003A2854" w:rsidRDefault="00000000">
            <w:pPr>
              <w:ind w:left="-85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2020</w:t>
            </w:r>
          </w:p>
        </w:tc>
        <w:tc>
          <w:tcPr>
            <w:tcW w:w="992" w:type="dxa"/>
          </w:tcPr>
          <w:p w14:paraId="0E2B5E6D" w14:textId="77777777" w:rsidR="003A2854" w:rsidRDefault="00000000">
            <w:pPr>
              <w:jc w:val="center"/>
            </w:pPr>
            <w:r>
              <w:rPr>
                <w:rFonts w:ascii="Times New Roman" w:eastAsia="Times New Roman" w:hAnsi="Times New Roman" w:cs="Times New Roman"/>
                <w:color w:val="000000"/>
                <w:sz w:val="20"/>
                <w:szCs w:val="20"/>
              </w:rPr>
              <w:t>02</w:t>
            </w:r>
          </w:p>
        </w:tc>
        <w:tc>
          <w:tcPr>
            <w:tcW w:w="1559" w:type="dxa"/>
          </w:tcPr>
          <w:p w14:paraId="30D2240F"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https://e-revista.unioeste.br/index.php/gepec/article/view/23856</w:t>
            </w:r>
          </w:p>
        </w:tc>
      </w:tr>
      <w:tr w:rsidR="003A2854" w14:paraId="32377B24" w14:textId="77777777">
        <w:tc>
          <w:tcPr>
            <w:tcW w:w="2836" w:type="dxa"/>
          </w:tcPr>
          <w:p w14:paraId="035ABBDE" w14:textId="77777777" w:rsidR="003A2854" w:rsidRDefault="00000000">
            <w:pPr>
              <w:keepNext/>
              <w:keepLines/>
              <w:pBdr>
                <w:top w:val="nil"/>
                <w:left w:val="nil"/>
                <w:bottom w:val="nil"/>
                <w:right w:val="nil"/>
                <w:between w:val="nil"/>
              </w:pBdr>
              <w:shd w:val="clear" w:color="auto" w:fill="FFFFFF"/>
              <w:spacing w:after="0" w:line="240" w:lineRule="auto"/>
              <w:ind w:left="34"/>
              <w:rPr>
                <w:rFonts w:ascii="Times New Roman" w:eastAsia="Times New Roman" w:hAnsi="Times New Roman" w:cs="Times New Roman"/>
                <w:smallCaps/>
                <w:color w:val="000000"/>
                <w:sz w:val="20"/>
                <w:szCs w:val="20"/>
              </w:rPr>
            </w:pPr>
            <w:r>
              <w:rPr>
                <w:rFonts w:ascii="Times New Roman" w:eastAsia="Times New Roman" w:hAnsi="Times New Roman" w:cs="Times New Roman"/>
                <w:color w:val="000000"/>
                <w:sz w:val="20"/>
                <w:szCs w:val="20"/>
              </w:rPr>
              <w:t>Governança em uma Estatal Federal: A Percepção dos Empregados e Gestores Públicos Quanto às Implicações no Cotidiano Organizacional.</w:t>
            </w:r>
          </w:p>
        </w:tc>
        <w:tc>
          <w:tcPr>
            <w:tcW w:w="1843" w:type="dxa"/>
          </w:tcPr>
          <w:p w14:paraId="4AE5F12A" w14:textId="77777777" w:rsidR="003A285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Araújo, Richard Medeiros </w:t>
            </w:r>
            <w:r>
              <w:rPr>
                <w:rFonts w:ascii="Times New Roman" w:eastAsia="Times New Roman" w:hAnsi="Times New Roman" w:cs="Times New Roman"/>
                <w:i/>
                <w:sz w:val="20"/>
                <w:szCs w:val="20"/>
              </w:rPr>
              <w:t>et al.</w:t>
            </w:r>
          </w:p>
        </w:tc>
        <w:tc>
          <w:tcPr>
            <w:tcW w:w="1276" w:type="dxa"/>
          </w:tcPr>
          <w:p w14:paraId="7261B6F7" w14:textId="77777777" w:rsidR="003A2854" w:rsidRDefault="00000000">
            <w:pPr>
              <w:ind w:left="-57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2023</w:t>
            </w:r>
          </w:p>
        </w:tc>
        <w:tc>
          <w:tcPr>
            <w:tcW w:w="992" w:type="dxa"/>
          </w:tcPr>
          <w:p w14:paraId="29B51259" w14:textId="77777777" w:rsidR="003A2854" w:rsidRDefault="00000000">
            <w:pPr>
              <w:ind w:left="-4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9" w:type="dxa"/>
          </w:tcPr>
          <w:p w14:paraId="228DBA79"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https://dialnet.unirioja.es/servlet/articulo?codigo=9050691 </w:t>
            </w:r>
          </w:p>
        </w:tc>
      </w:tr>
      <w:tr w:rsidR="003A2854" w14:paraId="3A42BAB5" w14:textId="77777777">
        <w:trPr>
          <w:trHeight w:val="1343"/>
        </w:trPr>
        <w:tc>
          <w:tcPr>
            <w:tcW w:w="2836" w:type="dxa"/>
          </w:tcPr>
          <w:p w14:paraId="157BDCFC" w14:textId="77777777" w:rsidR="003A2854" w:rsidRDefault="00000000">
            <w:pPr>
              <w:ind w:left="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Governança nas instituições de ensino superior públicas brasileiras</w:t>
            </w:r>
          </w:p>
        </w:tc>
        <w:tc>
          <w:tcPr>
            <w:tcW w:w="1843" w:type="dxa"/>
          </w:tcPr>
          <w:p w14:paraId="4BD97F45" w14:textId="77777777" w:rsidR="003A2854" w:rsidRDefault="00000000">
            <w:pPr>
              <w:ind w:left="-58"/>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 xml:space="preserve">Santos, </w:t>
            </w:r>
            <w:proofErr w:type="spellStart"/>
            <w:r>
              <w:rPr>
                <w:rFonts w:ascii="Times New Roman" w:eastAsia="Times New Roman" w:hAnsi="Times New Roman" w:cs="Times New Roman"/>
                <w:color w:val="222222"/>
                <w:sz w:val="20"/>
                <w:szCs w:val="20"/>
                <w:highlight w:val="white"/>
              </w:rPr>
              <w:t>Deusdete</w:t>
            </w:r>
            <w:proofErr w:type="spellEnd"/>
            <w:r>
              <w:rPr>
                <w:rFonts w:ascii="Times New Roman" w:eastAsia="Times New Roman" w:hAnsi="Times New Roman" w:cs="Times New Roman"/>
                <w:color w:val="222222"/>
                <w:sz w:val="20"/>
                <w:szCs w:val="20"/>
                <w:highlight w:val="white"/>
              </w:rPr>
              <w:t xml:space="preserve"> Junior; Souza, </w:t>
            </w:r>
            <w:proofErr w:type="spellStart"/>
            <w:r>
              <w:rPr>
                <w:rFonts w:ascii="Times New Roman" w:eastAsia="Times New Roman" w:hAnsi="Times New Roman" w:cs="Times New Roman"/>
                <w:color w:val="222222"/>
                <w:sz w:val="20"/>
                <w:szCs w:val="20"/>
                <w:highlight w:val="white"/>
              </w:rPr>
              <w:t>Kellcia</w:t>
            </w:r>
            <w:proofErr w:type="spellEnd"/>
            <w:r>
              <w:rPr>
                <w:rFonts w:ascii="Times New Roman" w:eastAsia="Times New Roman" w:hAnsi="Times New Roman" w:cs="Times New Roman"/>
                <w:color w:val="222222"/>
                <w:sz w:val="20"/>
                <w:szCs w:val="20"/>
                <w:highlight w:val="white"/>
              </w:rPr>
              <w:t xml:space="preserve">. </w:t>
            </w:r>
          </w:p>
        </w:tc>
        <w:tc>
          <w:tcPr>
            <w:tcW w:w="1276" w:type="dxa"/>
          </w:tcPr>
          <w:p w14:paraId="71F45E18" w14:textId="77777777" w:rsidR="003A2854" w:rsidRDefault="00000000">
            <w:pPr>
              <w:ind w:hanging="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2022</w:t>
            </w:r>
          </w:p>
        </w:tc>
        <w:tc>
          <w:tcPr>
            <w:tcW w:w="992" w:type="dxa"/>
          </w:tcPr>
          <w:p w14:paraId="46CAAB5D" w14:textId="77777777" w:rsidR="003A2854" w:rsidRDefault="00000000">
            <w:pPr>
              <w:ind w:left="-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c>
          <w:tcPr>
            <w:tcW w:w="1559" w:type="dxa"/>
          </w:tcPr>
          <w:p w14:paraId="681CF728"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https://periodicos.fclar.unesp.br/iberoamericana/article/view/17085 </w:t>
            </w:r>
          </w:p>
        </w:tc>
      </w:tr>
      <w:tr w:rsidR="003A2854" w14:paraId="028635D5" w14:textId="77777777">
        <w:tc>
          <w:tcPr>
            <w:tcW w:w="2836" w:type="dxa"/>
          </w:tcPr>
          <w:p w14:paraId="2D01914A" w14:textId="77777777" w:rsidR="003A2854" w:rsidRDefault="00000000">
            <w:pPr>
              <w:ind w:left="32"/>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Governança nas Universidades Federais do Brasil segundo o “Levantamento Integrado de Governança Organizacional Pública” do Tribunal de Contas da União.</w:t>
            </w:r>
          </w:p>
        </w:tc>
        <w:tc>
          <w:tcPr>
            <w:tcW w:w="1843" w:type="dxa"/>
          </w:tcPr>
          <w:p w14:paraId="302F8E10" w14:textId="77777777" w:rsidR="003A2854" w:rsidRDefault="00000000">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Marques, </w:t>
            </w:r>
            <w:proofErr w:type="spellStart"/>
            <w:r>
              <w:rPr>
                <w:rFonts w:ascii="Times New Roman" w:eastAsia="Times New Roman" w:hAnsi="Times New Roman" w:cs="Times New Roman"/>
                <w:color w:val="222222"/>
                <w:sz w:val="20"/>
                <w:szCs w:val="20"/>
                <w:highlight w:val="white"/>
              </w:rPr>
              <w:t>Pauliane</w:t>
            </w:r>
            <w:proofErr w:type="spellEnd"/>
            <w:r>
              <w:rPr>
                <w:rFonts w:ascii="Times New Roman" w:eastAsia="Times New Roman" w:hAnsi="Times New Roman" w:cs="Times New Roman"/>
                <w:color w:val="222222"/>
                <w:sz w:val="20"/>
                <w:szCs w:val="20"/>
                <w:highlight w:val="white"/>
              </w:rPr>
              <w:t xml:space="preserve"> </w:t>
            </w:r>
            <w:proofErr w:type="spellStart"/>
            <w:r>
              <w:rPr>
                <w:rFonts w:ascii="Times New Roman" w:eastAsia="Times New Roman" w:hAnsi="Times New Roman" w:cs="Times New Roman"/>
                <w:color w:val="222222"/>
                <w:sz w:val="20"/>
                <w:szCs w:val="20"/>
                <w:highlight w:val="white"/>
              </w:rPr>
              <w:t>Venessa</w:t>
            </w:r>
            <w:proofErr w:type="spellEnd"/>
            <w:r>
              <w:rPr>
                <w:rFonts w:ascii="Times New Roman" w:eastAsia="Times New Roman" w:hAnsi="Times New Roman" w:cs="Times New Roman"/>
                <w:color w:val="222222"/>
                <w:sz w:val="20"/>
                <w:szCs w:val="20"/>
                <w:highlight w:val="white"/>
              </w:rPr>
              <w:t xml:space="preserve"> da Silva Braga et al.</w:t>
            </w:r>
          </w:p>
          <w:p w14:paraId="2B69CEE9" w14:textId="77777777" w:rsidR="003A2854" w:rsidRDefault="003A2854">
            <w:pPr>
              <w:rPr>
                <w:rFonts w:ascii="Times New Roman" w:eastAsia="Times New Roman" w:hAnsi="Times New Roman" w:cs="Times New Roman"/>
                <w:color w:val="000000"/>
                <w:sz w:val="20"/>
                <w:szCs w:val="20"/>
              </w:rPr>
            </w:pPr>
          </w:p>
        </w:tc>
        <w:tc>
          <w:tcPr>
            <w:tcW w:w="1276" w:type="dxa"/>
          </w:tcPr>
          <w:p w14:paraId="153384FB" w14:textId="77777777" w:rsidR="003A2854" w:rsidRDefault="00000000">
            <w:pPr>
              <w:ind w:left="-48" w:firstLine="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2020</w:t>
            </w:r>
          </w:p>
        </w:tc>
        <w:tc>
          <w:tcPr>
            <w:tcW w:w="992" w:type="dxa"/>
          </w:tcPr>
          <w:p w14:paraId="74815DD5" w14:textId="77777777" w:rsidR="003A2854" w:rsidRDefault="00000000">
            <w:pPr>
              <w:ind w:left="-450" w:firstLine="4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559" w:type="dxa"/>
          </w:tcPr>
          <w:p w14:paraId="21F9AD9D"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https://revistacontrole.tce.ce.gov.br/index.php/RCDA/article/view/629 </w:t>
            </w:r>
          </w:p>
        </w:tc>
      </w:tr>
      <w:tr w:rsidR="003A2854" w14:paraId="0978551C" w14:textId="77777777">
        <w:trPr>
          <w:trHeight w:val="703"/>
        </w:trPr>
        <w:tc>
          <w:tcPr>
            <w:tcW w:w="2836" w:type="dxa"/>
          </w:tcPr>
          <w:p w14:paraId="71CBDF07"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t>Governança no Setor Público: Um Estudo na Administração Direta Estadual.</w:t>
            </w:r>
          </w:p>
        </w:tc>
        <w:tc>
          <w:tcPr>
            <w:tcW w:w="1843" w:type="dxa"/>
          </w:tcPr>
          <w:p w14:paraId="353807A8" w14:textId="77777777" w:rsidR="003A285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Barbosa, Cícero Rodrigues; Faria, Fernando de Abreu.</w:t>
            </w:r>
          </w:p>
        </w:tc>
        <w:tc>
          <w:tcPr>
            <w:tcW w:w="1276" w:type="dxa"/>
          </w:tcPr>
          <w:p w14:paraId="418A8907" w14:textId="77777777" w:rsidR="003A2854" w:rsidRDefault="00000000">
            <w:pPr>
              <w:ind w:left="-85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2018</w:t>
            </w:r>
          </w:p>
        </w:tc>
        <w:tc>
          <w:tcPr>
            <w:tcW w:w="992" w:type="dxa"/>
          </w:tcPr>
          <w:p w14:paraId="7AB7B8F1" w14:textId="77777777" w:rsidR="003A2854" w:rsidRDefault="00000000">
            <w:pPr>
              <w:ind w:left="-18" w:hanging="22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59" w:type="dxa"/>
          </w:tcPr>
          <w:p w14:paraId="753EE8DD" w14:textId="77777777" w:rsidR="003A2854" w:rsidRDefault="00000000">
            <w:pPr>
              <w:ind w:left="3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http://revista.fumec.br/index.php/facesp/article/view/5934 </w:t>
            </w:r>
          </w:p>
        </w:tc>
      </w:tr>
      <w:tr w:rsidR="003A2854" w14:paraId="0463B987" w14:textId="77777777">
        <w:tc>
          <w:tcPr>
            <w:tcW w:w="2836" w:type="dxa"/>
          </w:tcPr>
          <w:p w14:paraId="6865B929" w14:textId="77777777" w:rsidR="003A2854" w:rsidRDefault="00000000">
            <w:pPr>
              <w:keepNext/>
              <w:keepLines/>
              <w:pBdr>
                <w:top w:val="nil"/>
                <w:left w:val="nil"/>
                <w:bottom w:val="nil"/>
                <w:right w:val="nil"/>
                <w:between w:val="nil"/>
              </w:pBdr>
              <w:shd w:val="clear" w:color="auto" w:fill="FFFFFF"/>
              <w:spacing w:after="0" w:line="240" w:lineRule="auto"/>
              <w:rPr>
                <w:rFonts w:ascii="Times New Roman" w:eastAsia="Times New Roman" w:hAnsi="Times New Roman" w:cs="Times New Roman"/>
                <w:smallCaps/>
                <w:color w:val="000000"/>
                <w:sz w:val="20"/>
                <w:szCs w:val="20"/>
              </w:rPr>
            </w:pPr>
            <w:r>
              <w:rPr>
                <w:rFonts w:ascii="Times New Roman" w:eastAsia="Times New Roman" w:hAnsi="Times New Roman" w:cs="Times New Roman"/>
                <w:color w:val="000000"/>
                <w:sz w:val="20"/>
                <w:szCs w:val="20"/>
              </w:rPr>
              <w:t>Governança para a Administração Pública Federal: Avaliação das Práticas das Universidades Federais da Região Sul.</w:t>
            </w:r>
          </w:p>
        </w:tc>
        <w:tc>
          <w:tcPr>
            <w:tcW w:w="1843" w:type="dxa"/>
          </w:tcPr>
          <w:p w14:paraId="217D3742"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 xml:space="preserve">Minuzzi, Danielle </w:t>
            </w:r>
            <w:r>
              <w:rPr>
                <w:rFonts w:ascii="Times New Roman" w:eastAsia="Times New Roman" w:hAnsi="Times New Roman" w:cs="Times New Roman"/>
                <w:i/>
                <w:color w:val="222222"/>
                <w:sz w:val="20"/>
                <w:szCs w:val="20"/>
                <w:highlight w:val="white"/>
              </w:rPr>
              <w:t>et al</w:t>
            </w:r>
            <w:r>
              <w:rPr>
                <w:rFonts w:ascii="Times New Roman" w:eastAsia="Times New Roman" w:hAnsi="Times New Roman" w:cs="Times New Roman"/>
                <w:color w:val="222222"/>
                <w:sz w:val="20"/>
                <w:szCs w:val="20"/>
                <w:highlight w:val="white"/>
              </w:rPr>
              <w:t xml:space="preserve">.  </w:t>
            </w:r>
          </w:p>
        </w:tc>
        <w:tc>
          <w:tcPr>
            <w:tcW w:w="1276" w:type="dxa"/>
          </w:tcPr>
          <w:p w14:paraId="5BBD9EE4" w14:textId="77777777" w:rsidR="003A2854" w:rsidRDefault="00000000">
            <w:pPr>
              <w:ind w:firstLine="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2022</w:t>
            </w:r>
          </w:p>
        </w:tc>
        <w:tc>
          <w:tcPr>
            <w:tcW w:w="992" w:type="dxa"/>
          </w:tcPr>
          <w:p w14:paraId="14856859" w14:textId="77777777" w:rsidR="003A2854" w:rsidRDefault="00000000">
            <w:pPr>
              <w:ind w:left="-18" w:hanging="22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c>
          <w:tcPr>
            <w:tcW w:w="1559" w:type="dxa"/>
          </w:tcPr>
          <w:p w14:paraId="5D00D7CD"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https://repositorio.ufsm.br/handle/1/24010 </w:t>
            </w:r>
          </w:p>
        </w:tc>
      </w:tr>
      <w:tr w:rsidR="003A2854" w14:paraId="2276885A" w14:textId="77777777">
        <w:tc>
          <w:tcPr>
            <w:tcW w:w="2836" w:type="dxa"/>
          </w:tcPr>
          <w:p w14:paraId="00D132A9"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Governança Pública: Análise Exploratória da </w:t>
            </w:r>
            <w:proofErr w:type="spellStart"/>
            <w:r>
              <w:rPr>
                <w:rFonts w:ascii="Times New Roman" w:eastAsia="Times New Roman" w:hAnsi="Times New Roman" w:cs="Times New Roman"/>
                <w:sz w:val="20"/>
                <w:szCs w:val="20"/>
              </w:rPr>
              <w:t>Disclosure</w:t>
            </w:r>
            <w:proofErr w:type="spellEnd"/>
            <w:r>
              <w:rPr>
                <w:rFonts w:ascii="Times New Roman" w:eastAsia="Times New Roman" w:hAnsi="Times New Roman" w:cs="Times New Roman"/>
                <w:sz w:val="20"/>
                <w:szCs w:val="20"/>
              </w:rPr>
              <w:t xml:space="preserve"> dos Municípios da Região Sul do Brasil.</w:t>
            </w:r>
          </w:p>
        </w:tc>
        <w:tc>
          <w:tcPr>
            <w:tcW w:w="1843" w:type="dxa"/>
          </w:tcPr>
          <w:p w14:paraId="74911CDD" w14:textId="77777777" w:rsidR="003A2854" w:rsidRDefault="00000000">
            <w:pPr>
              <w:ind w:left="-5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Martins, Gislene Daiana; Peixe, </w:t>
            </w:r>
            <w:proofErr w:type="spellStart"/>
            <w:r>
              <w:rPr>
                <w:rFonts w:ascii="Times New Roman" w:eastAsia="Times New Roman" w:hAnsi="Times New Roman" w:cs="Times New Roman"/>
                <w:sz w:val="20"/>
                <w:szCs w:val="20"/>
              </w:rPr>
              <w:t>Blênio</w:t>
            </w:r>
            <w:proofErr w:type="spellEnd"/>
            <w:r>
              <w:rPr>
                <w:rFonts w:ascii="Times New Roman" w:eastAsia="Times New Roman" w:hAnsi="Times New Roman" w:cs="Times New Roman"/>
                <w:sz w:val="20"/>
                <w:szCs w:val="20"/>
              </w:rPr>
              <w:t xml:space="preserve"> Cezar Severo.</w:t>
            </w:r>
          </w:p>
        </w:tc>
        <w:tc>
          <w:tcPr>
            <w:tcW w:w="1276" w:type="dxa"/>
          </w:tcPr>
          <w:p w14:paraId="7E0D2F36" w14:textId="77777777" w:rsidR="003A2854" w:rsidRDefault="00000000">
            <w:pPr>
              <w:tabs>
                <w:tab w:val="left" w:pos="850"/>
              </w:tabs>
              <w:ind w:left="-1564"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5AD9299F" w14:textId="77777777" w:rsidR="003A2854" w:rsidRDefault="00000000">
            <w:pPr>
              <w:tabs>
                <w:tab w:val="left" w:pos="850"/>
              </w:tabs>
              <w:ind w:left="-1564"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2020</w:t>
            </w:r>
          </w:p>
        </w:tc>
        <w:tc>
          <w:tcPr>
            <w:tcW w:w="992" w:type="dxa"/>
          </w:tcPr>
          <w:p w14:paraId="581E8E1B" w14:textId="77777777" w:rsidR="003A2854" w:rsidRDefault="00000000">
            <w:pPr>
              <w:ind w:left="-1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p>
        </w:tc>
        <w:tc>
          <w:tcPr>
            <w:tcW w:w="1559" w:type="dxa"/>
          </w:tcPr>
          <w:p w14:paraId="273E7761"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file:///C:/Users/Sonia/Downloads/32489-111991-2-PB.pdf </w:t>
            </w:r>
          </w:p>
        </w:tc>
      </w:tr>
      <w:tr w:rsidR="003A2854" w14:paraId="0CBB0B69" w14:textId="77777777">
        <w:tc>
          <w:tcPr>
            <w:tcW w:w="2836" w:type="dxa"/>
          </w:tcPr>
          <w:p w14:paraId="38599C71" w14:textId="77777777" w:rsidR="003A2854" w:rsidRDefault="00000000">
            <w:pPr>
              <w:rPr>
                <w:rFonts w:ascii="Times New Roman" w:eastAsia="Times New Roman" w:hAnsi="Times New Roman" w:cs="Times New Roman"/>
                <w:color w:val="000000"/>
                <w:sz w:val="20"/>
                <w:szCs w:val="20"/>
              </w:rPr>
            </w:pPr>
            <w:bookmarkStart w:id="12" w:name="_rdd24aunu3ju" w:colFirst="0" w:colLast="0"/>
            <w:bookmarkEnd w:id="12"/>
            <w:r>
              <w:rPr>
                <w:rFonts w:ascii="Times New Roman" w:eastAsia="Times New Roman" w:hAnsi="Times New Roman" w:cs="Times New Roman"/>
                <w:sz w:val="20"/>
                <w:szCs w:val="20"/>
              </w:rPr>
              <w:lastRenderedPageBreak/>
              <w:t>Governança nas Universidades Federais do Brasil segundo o “Levantamento Integrado de Governança Organizacional Pública” do Tribunal de Contas da União</w:t>
            </w:r>
          </w:p>
        </w:tc>
        <w:tc>
          <w:tcPr>
            <w:tcW w:w="1843" w:type="dxa"/>
          </w:tcPr>
          <w:p w14:paraId="60D37A48" w14:textId="77777777" w:rsidR="003A2854" w:rsidRDefault="00000000">
            <w:pPr>
              <w:ind w:left="-106"/>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M</w:t>
            </w:r>
            <w:r>
              <w:rPr>
                <w:rFonts w:ascii="Times New Roman" w:eastAsia="Times New Roman" w:hAnsi="Times New Roman" w:cs="Times New Roman"/>
                <w:sz w:val="20"/>
                <w:szCs w:val="20"/>
              </w:rPr>
              <w:t xml:space="preserve">ARQUES, </w:t>
            </w:r>
            <w:proofErr w:type="spellStart"/>
            <w:r>
              <w:rPr>
                <w:rFonts w:ascii="Times New Roman" w:eastAsia="Times New Roman" w:hAnsi="Times New Roman" w:cs="Times New Roman"/>
                <w:sz w:val="20"/>
                <w:szCs w:val="20"/>
              </w:rPr>
              <w:t>Pauliane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Venessa</w:t>
            </w:r>
            <w:proofErr w:type="spellEnd"/>
            <w:r>
              <w:rPr>
                <w:rFonts w:ascii="Times New Roman" w:eastAsia="Times New Roman" w:hAnsi="Times New Roman" w:cs="Times New Roman"/>
                <w:sz w:val="20"/>
                <w:szCs w:val="20"/>
              </w:rPr>
              <w:t xml:space="preserve"> da Silva Braga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w:t>
            </w:r>
          </w:p>
        </w:tc>
        <w:tc>
          <w:tcPr>
            <w:tcW w:w="1276" w:type="dxa"/>
          </w:tcPr>
          <w:p w14:paraId="2C071731" w14:textId="77777777" w:rsidR="003A2854" w:rsidRDefault="00000000">
            <w:pPr>
              <w:ind w:left="-1752"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2020</w:t>
            </w:r>
          </w:p>
        </w:tc>
        <w:tc>
          <w:tcPr>
            <w:tcW w:w="992" w:type="dxa"/>
          </w:tcPr>
          <w:p w14:paraId="27117005" w14:textId="77777777" w:rsidR="003A2854" w:rsidRDefault="00000000">
            <w:pPr>
              <w:ind w:hanging="24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06</w:t>
            </w:r>
          </w:p>
        </w:tc>
        <w:tc>
          <w:tcPr>
            <w:tcW w:w="1559" w:type="dxa"/>
          </w:tcPr>
          <w:p w14:paraId="630332A7"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https://revistacontrole.tce.ce.gov.br/index.php/RCDA/article/view/629 </w:t>
            </w:r>
          </w:p>
        </w:tc>
      </w:tr>
      <w:tr w:rsidR="003A2854" w14:paraId="26B66AE4" w14:textId="77777777">
        <w:tc>
          <w:tcPr>
            <w:tcW w:w="2836" w:type="dxa"/>
          </w:tcPr>
          <w:p w14:paraId="7EB16D58" w14:textId="77777777" w:rsidR="003A2854" w:rsidRDefault="00000000">
            <w:pPr>
              <w:keepNext/>
              <w:keepLines/>
              <w:pBdr>
                <w:top w:val="nil"/>
                <w:left w:val="nil"/>
                <w:bottom w:val="nil"/>
                <w:right w:val="nil"/>
                <w:between w:val="nil"/>
              </w:pBdr>
              <w:shd w:val="clear" w:color="auto" w:fill="FFFFFF"/>
              <w:spacing w:after="0" w:line="240" w:lineRule="auto"/>
              <w:rPr>
                <w:rFonts w:ascii="Times New Roman" w:eastAsia="Times New Roman" w:hAnsi="Times New Roman" w:cs="Times New Roman"/>
                <w:smallCaps/>
                <w:color w:val="000000"/>
                <w:sz w:val="20"/>
                <w:szCs w:val="20"/>
              </w:rPr>
            </w:pPr>
            <w:r>
              <w:rPr>
                <w:rFonts w:ascii="Times New Roman" w:eastAsia="Times New Roman" w:hAnsi="Times New Roman" w:cs="Times New Roman"/>
                <w:color w:val="000000"/>
                <w:sz w:val="20"/>
                <w:szCs w:val="20"/>
              </w:rPr>
              <w:t>Percepções de Comitês Sobre a Aplicação da Governança Pública Federal.</w:t>
            </w:r>
          </w:p>
        </w:tc>
        <w:tc>
          <w:tcPr>
            <w:tcW w:w="1843" w:type="dxa"/>
          </w:tcPr>
          <w:p w14:paraId="77BCBDA1" w14:textId="77777777" w:rsidR="003A2854" w:rsidRDefault="00000000">
            <w:pPr>
              <w:ind w:left="-5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Ramos, </w:t>
            </w:r>
            <w:proofErr w:type="spellStart"/>
            <w:r>
              <w:rPr>
                <w:rFonts w:ascii="Times New Roman" w:eastAsia="Times New Roman" w:hAnsi="Times New Roman" w:cs="Times New Roman"/>
                <w:sz w:val="20"/>
                <w:szCs w:val="20"/>
              </w:rPr>
              <w:t>Karoll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Haussler</w:t>
            </w:r>
            <w:proofErr w:type="spellEnd"/>
            <w:r>
              <w:rPr>
                <w:rFonts w:ascii="Times New Roman" w:eastAsia="Times New Roman" w:hAnsi="Times New Roman" w:cs="Times New Roman"/>
                <w:sz w:val="20"/>
                <w:szCs w:val="20"/>
              </w:rPr>
              <w:t xml:space="preserve"> Carneiro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w:t>
            </w:r>
          </w:p>
        </w:tc>
        <w:tc>
          <w:tcPr>
            <w:tcW w:w="1276" w:type="dxa"/>
          </w:tcPr>
          <w:p w14:paraId="1EC3C2A6" w14:textId="77777777" w:rsidR="003A2854" w:rsidRDefault="00000000">
            <w:pPr>
              <w:ind w:left="-1752"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2021</w:t>
            </w:r>
          </w:p>
        </w:tc>
        <w:tc>
          <w:tcPr>
            <w:tcW w:w="992" w:type="dxa"/>
          </w:tcPr>
          <w:p w14:paraId="570F2934" w14:textId="77777777" w:rsidR="003A2854" w:rsidRDefault="00000000">
            <w:pPr>
              <w:ind w:left="22" w:hanging="26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c>
          <w:tcPr>
            <w:tcW w:w="1559" w:type="dxa"/>
          </w:tcPr>
          <w:p w14:paraId="7BAC93FE"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file:///C:/Users/Sonia/Downloads/admin,+7878-26645-1+-para+publicacao-kll.pdf </w:t>
            </w:r>
          </w:p>
        </w:tc>
      </w:tr>
      <w:tr w:rsidR="003A2854" w14:paraId="01E1FC32" w14:textId="77777777">
        <w:tc>
          <w:tcPr>
            <w:tcW w:w="2836" w:type="dxa"/>
          </w:tcPr>
          <w:p w14:paraId="3F2F6ACB"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Práticas de Governança Pública Adotadas pela Administração Pública Federal Brasileira.</w:t>
            </w:r>
          </w:p>
        </w:tc>
        <w:tc>
          <w:tcPr>
            <w:tcW w:w="1843" w:type="dxa"/>
          </w:tcPr>
          <w:p w14:paraId="1920CFE8"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 xml:space="preserve">Correio, Márcia Néa Oliveira Pascoal; De Oliveira Correio; </w:t>
            </w:r>
            <w:proofErr w:type="spellStart"/>
            <w:r>
              <w:rPr>
                <w:rFonts w:ascii="Times New Roman" w:eastAsia="Times New Roman" w:hAnsi="Times New Roman" w:cs="Times New Roman"/>
                <w:color w:val="222222"/>
                <w:sz w:val="20"/>
                <w:szCs w:val="20"/>
                <w:highlight w:val="white"/>
              </w:rPr>
              <w:t>Oderlene</w:t>
            </w:r>
            <w:proofErr w:type="spellEnd"/>
            <w:r>
              <w:rPr>
                <w:rFonts w:ascii="Times New Roman" w:eastAsia="Times New Roman" w:hAnsi="Times New Roman" w:cs="Times New Roman"/>
                <w:color w:val="222222"/>
                <w:sz w:val="20"/>
                <w:szCs w:val="20"/>
                <w:highlight w:val="white"/>
              </w:rPr>
              <w:t xml:space="preserve"> Vieira. </w:t>
            </w:r>
          </w:p>
        </w:tc>
        <w:tc>
          <w:tcPr>
            <w:tcW w:w="1276" w:type="dxa"/>
          </w:tcPr>
          <w:p w14:paraId="1AD4A8D0" w14:textId="77777777" w:rsidR="003A2854" w:rsidRDefault="00000000">
            <w:pPr>
              <w:ind w:left="-1752"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992" w:type="dxa"/>
          </w:tcPr>
          <w:p w14:paraId="6B5CE982" w14:textId="77777777" w:rsidR="003A2854" w:rsidRDefault="00000000">
            <w:pPr>
              <w:ind w:left="-8" w:hanging="2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559" w:type="dxa"/>
          </w:tcPr>
          <w:p w14:paraId="66771809"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https://www.redalyc.org/journal/3515/351558326007/351558326007.pdf </w:t>
            </w:r>
          </w:p>
        </w:tc>
      </w:tr>
      <w:tr w:rsidR="003A2854" w14:paraId="0FDE6375" w14:textId="77777777">
        <w:tc>
          <w:tcPr>
            <w:tcW w:w="2836" w:type="dxa"/>
          </w:tcPr>
          <w:p w14:paraId="5594C55B" w14:textId="77777777" w:rsidR="003A285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Teoria dos Escalões Superiores Explica a Governança nas Universidades Públicas? </w:t>
            </w:r>
          </w:p>
        </w:tc>
        <w:tc>
          <w:tcPr>
            <w:tcW w:w="1843" w:type="dxa"/>
          </w:tcPr>
          <w:p w14:paraId="476420EE"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 xml:space="preserve">Dos Santos, Thamara Marcos; Júnior, Manuel Salgueiro Rodrigues.  </w:t>
            </w:r>
          </w:p>
        </w:tc>
        <w:tc>
          <w:tcPr>
            <w:tcW w:w="1276" w:type="dxa"/>
          </w:tcPr>
          <w:p w14:paraId="67503861" w14:textId="77777777" w:rsidR="003A2854" w:rsidRDefault="00000000">
            <w:pPr>
              <w:ind w:left="-1752" w:right="46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w:t>
            </w:r>
          </w:p>
        </w:tc>
        <w:tc>
          <w:tcPr>
            <w:tcW w:w="992" w:type="dxa"/>
          </w:tcPr>
          <w:p w14:paraId="0B8FCCFD" w14:textId="77777777" w:rsidR="003A2854" w:rsidRDefault="00000000">
            <w:pPr>
              <w:tabs>
                <w:tab w:val="left" w:pos="1449"/>
              </w:tabs>
              <w:ind w:hanging="10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14:paraId="26B7C108" w14:textId="77777777" w:rsidR="003A2854" w:rsidRDefault="003A2854">
            <w:pPr>
              <w:ind w:left="-110"/>
              <w:jc w:val="center"/>
              <w:rPr>
                <w:rFonts w:ascii="Times New Roman" w:eastAsia="Times New Roman" w:hAnsi="Times New Roman" w:cs="Times New Roman"/>
                <w:sz w:val="20"/>
                <w:szCs w:val="20"/>
              </w:rPr>
            </w:pPr>
          </w:p>
        </w:tc>
        <w:tc>
          <w:tcPr>
            <w:tcW w:w="1559" w:type="dxa"/>
          </w:tcPr>
          <w:p w14:paraId="72750F71"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http://www4.unifsa.com.br/revista/index.php/fsa/article/view/2784 </w:t>
            </w:r>
          </w:p>
        </w:tc>
      </w:tr>
      <w:tr w:rsidR="003A2854" w14:paraId="281D1FDD" w14:textId="77777777">
        <w:tc>
          <w:tcPr>
            <w:tcW w:w="2836" w:type="dxa"/>
          </w:tcPr>
          <w:p w14:paraId="619A274A"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Governança pública em três dimensões: conceitual, mensural e democrática.  </w:t>
            </w:r>
          </w:p>
        </w:tc>
        <w:tc>
          <w:tcPr>
            <w:tcW w:w="1843" w:type="dxa"/>
          </w:tcPr>
          <w:p w14:paraId="71E22D07"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 xml:space="preserve">Buta, Bernardo Oliveira; Teixeira, Marco </w:t>
            </w:r>
            <w:proofErr w:type="spellStart"/>
            <w:r>
              <w:rPr>
                <w:rFonts w:ascii="Times New Roman" w:eastAsia="Times New Roman" w:hAnsi="Times New Roman" w:cs="Times New Roman"/>
                <w:color w:val="222222"/>
                <w:sz w:val="20"/>
                <w:szCs w:val="20"/>
                <w:highlight w:val="white"/>
              </w:rPr>
              <w:t>Antonio</w:t>
            </w:r>
            <w:proofErr w:type="spellEnd"/>
            <w:r>
              <w:rPr>
                <w:rFonts w:ascii="Times New Roman" w:eastAsia="Times New Roman" w:hAnsi="Times New Roman" w:cs="Times New Roman"/>
                <w:color w:val="222222"/>
                <w:sz w:val="20"/>
                <w:szCs w:val="20"/>
                <w:highlight w:val="white"/>
              </w:rPr>
              <w:t xml:space="preserve"> Carvalho.</w:t>
            </w:r>
          </w:p>
        </w:tc>
        <w:tc>
          <w:tcPr>
            <w:tcW w:w="1276" w:type="dxa"/>
          </w:tcPr>
          <w:p w14:paraId="0CE65C02" w14:textId="77777777" w:rsidR="003A2854" w:rsidRDefault="00000000">
            <w:pPr>
              <w:ind w:left="-1383"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2020</w:t>
            </w:r>
          </w:p>
        </w:tc>
        <w:tc>
          <w:tcPr>
            <w:tcW w:w="992" w:type="dxa"/>
          </w:tcPr>
          <w:p w14:paraId="7C6472F1" w14:textId="77777777" w:rsidR="003A2854" w:rsidRDefault="00000000">
            <w:pPr>
              <w:ind w:left="-8" w:firstLine="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1559" w:type="dxa"/>
          </w:tcPr>
          <w:p w14:paraId="349A8CED"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https://www.scielo.br/j/osoc/a/HjzrZXnPcTkyY5Q77GssnfH/ </w:t>
            </w:r>
          </w:p>
        </w:tc>
      </w:tr>
      <w:tr w:rsidR="003A2854" w14:paraId="140DC5D0" w14:textId="77777777">
        <w:tc>
          <w:tcPr>
            <w:tcW w:w="2836" w:type="dxa"/>
          </w:tcPr>
          <w:p w14:paraId="005C2ADE"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t>Maturidade de governança e criação de valor público em instituições públicas de ensino superior: o caso das universidades brasileiras.</w:t>
            </w:r>
          </w:p>
        </w:tc>
        <w:tc>
          <w:tcPr>
            <w:tcW w:w="1843" w:type="dxa"/>
          </w:tcPr>
          <w:p w14:paraId="6AE5485C" w14:textId="77777777" w:rsidR="003A2854" w:rsidRDefault="00000000">
            <w:pP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222222"/>
                <w:sz w:val="20"/>
                <w:szCs w:val="20"/>
                <w:highlight w:val="white"/>
              </w:rPr>
              <w:t xml:space="preserve">Machado, Daiane Pias; </w:t>
            </w:r>
            <w:proofErr w:type="spellStart"/>
            <w:r>
              <w:rPr>
                <w:rFonts w:ascii="Times New Roman" w:eastAsia="Times New Roman" w:hAnsi="Times New Roman" w:cs="Times New Roman"/>
                <w:color w:val="222222"/>
                <w:sz w:val="20"/>
                <w:szCs w:val="20"/>
                <w:highlight w:val="white"/>
              </w:rPr>
              <w:t>Quiraque</w:t>
            </w:r>
            <w:proofErr w:type="spellEnd"/>
            <w:r>
              <w:rPr>
                <w:rFonts w:ascii="Times New Roman" w:eastAsia="Times New Roman" w:hAnsi="Times New Roman" w:cs="Times New Roman"/>
                <w:color w:val="222222"/>
                <w:sz w:val="20"/>
                <w:szCs w:val="20"/>
                <w:highlight w:val="white"/>
              </w:rPr>
              <w:t xml:space="preserve">, </w:t>
            </w:r>
            <w:proofErr w:type="spellStart"/>
            <w:r>
              <w:rPr>
                <w:rFonts w:ascii="Times New Roman" w:eastAsia="Times New Roman" w:hAnsi="Times New Roman" w:cs="Times New Roman"/>
                <w:color w:val="222222"/>
                <w:sz w:val="20"/>
                <w:szCs w:val="20"/>
                <w:highlight w:val="white"/>
              </w:rPr>
              <w:t>Elcídio</w:t>
            </w:r>
            <w:proofErr w:type="spellEnd"/>
            <w:r>
              <w:rPr>
                <w:rFonts w:ascii="Times New Roman" w:eastAsia="Times New Roman" w:hAnsi="Times New Roman" w:cs="Times New Roman"/>
                <w:color w:val="222222"/>
                <w:sz w:val="20"/>
                <w:szCs w:val="20"/>
                <w:highlight w:val="white"/>
              </w:rPr>
              <w:t xml:space="preserve"> Henriques. </w:t>
            </w:r>
          </w:p>
        </w:tc>
        <w:tc>
          <w:tcPr>
            <w:tcW w:w="1276" w:type="dxa"/>
          </w:tcPr>
          <w:p w14:paraId="7915D6B9" w14:textId="77777777" w:rsidR="003A2854" w:rsidRDefault="00000000">
            <w:pPr>
              <w:ind w:left="-1383"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w:t>
            </w:r>
          </w:p>
        </w:tc>
        <w:tc>
          <w:tcPr>
            <w:tcW w:w="992" w:type="dxa"/>
          </w:tcPr>
          <w:p w14:paraId="55DB759C" w14:textId="77777777" w:rsidR="003A2854" w:rsidRDefault="00000000">
            <w:pPr>
              <w:ind w:left="-110" w:firstLine="1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1559" w:type="dxa"/>
          </w:tcPr>
          <w:p w14:paraId="5F3BCBFE"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https://www.scielo.br/j/aval/a/hqy3jGLvmDbTJsJ5T49WvPz/ </w:t>
            </w:r>
          </w:p>
        </w:tc>
      </w:tr>
      <w:tr w:rsidR="003A2854" w14:paraId="56AC973C" w14:textId="77777777">
        <w:tc>
          <w:tcPr>
            <w:tcW w:w="2836" w:type="dxa"/>
          </w:tcPr>
          <w:p w14:paraId="6F6A7DAC" w14:textId="77777777" w:rsidR="003A2854" w:rsidRDefault="00000000">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Governança Pública na Gestão da Educação Superior: Um Estudo na Universidade Federal Dos Vales do Jequitinhonha e Mucuri.</w:t>
            </w:r>
          </w:p>
        </w:tc>
        <w:tc>
          <w:tcPr>
            <w:tcW w:w="1843" w:type="dxa"/>
          </w:tcPr>
          <w:p w14:paraId="636429C4" w14:textId="77777777" w:rsidR="003A2854" w:rsidRDefault="00000000">
            <w:pPr>
              <w:ind w:left="-58"/>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222222"/>
                <w:sz w:val="20"/>
                <w:szCs w:val="20"/>
                <w:highlight w:val="white"/>
              </w:rPr>
              <w:t xml:space="preserve">Vieira, </w:t>
            </w:r>
            <w:proofErr w:type="spellStart"/>
            <w:r>
              <w:rPr>
                <w:rFonts w:ascii="Times New Roman" w:eastAsia="Times New Roman" w:hAnsi="Times New Roman" w:cs="Times New Roman"/>
                <w:color w:val="222222"/>
                <w:sz w:val="20"/>
                <w:szCs w:val="20"/>
                <w:highlight w:val="white"/>
              </w:rPr>
              <w:t>Darliton</w:t>
            </w:r>
            <w:proofErr w:type="spellEnd"/>
            <w:r>
              <w:rPr>
                <w:rFonts w:ascii="Times New Roman" w:eastAsia="Times New Roman" w:hAnsi="Times New Roman" w:cs="Times New Roman"/>
                <w:color w:val="222222"/>
                <w:sz w:val="20"/>
                <w:szCs w:val="20"/>
                <w:highlight w:val="white"/>
              </w:rPr>
              <w:t xml:space="preserve"> Vinicios; Rodrigues, Claudio Eduardo. </w:t>
            </w:r>
          </w:p>
        </w:tc>
        <w:tc>
          <w:tcPr>
            <w:tcW w:w="1276" w:type="dxa"/>
          </w:tcPr>
          <w:p w14:paraId="14A32ED4" w14:textId="77777777" w:rsidR="003A2854" w:rsidRDefault="00000000">
            <w:pPr>
              <w:ind w:left="-1383"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2022</w:t>
            </w:r>
          </w:p>
        </w:tc>
        <w:tc>
          <w:tcPr>
            <w:tcW w:w="992" w:type="dxa"/>
          </w:tcPr>
          <w:p w14:paraId="534840B3" w14:textId="77777777" w:rsidR="003A2854" w:rsidRDefault="00000000">
            <w:pPr>
              <w:ind w:left="-110" w:hanging="13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w:t>
            </w:r>
          </w:p>
        </w:tc>
        <w:tc>
          <w:tcPr>
            <w:tcW w:w="1559" w:type="dxa"/>
          </w:tcPr>
          <w:p w14:paraId="15E6EA06"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https://periodicos2.unemat.br/index.php/ppgedu/article/view/6586 </w:t>
            </w:r>
          </w:p>
        </w:tc>
      </w:tr>
      <w:tr w:rsidR="003A2854" w14:paraId="41A6728A" w14:textId="77777777">
        <w:tc>
          <w:tcPr>
            <w:tcW w:w="2836" w:type="dxa"/>
          </w:tcPr>
          <w:p w14:paraId="3632B556" w14:textId="77777777" w:rsidR="003A2854" w:rsidRDefault="00000000">
            <w:pPr>
              <w:ind w:left="32"/>
              <w:rPr>
                <w:rFonts w:ascii="Times New Roman" w:eastAsia="Times New Roman" w:hAnsi="Times New Roman" w:cs="Times New Roman"/>
                <w:color w:val="00314C"/>
                <w:sz w:val="20"/>
                <w:szCs w:val="20"/>
                <w:highlight w:val="yellow"/>
              </w:rPr>
            </w:pPr>
            <w:bookmarkStart w:id="13" w:name="_l3g7263zydy4" w:colFirst="0" w:colLast="0"/>
            <w:bookmarkEnd w:id="13"/>
            <w:r>
              <w:rPr>
                <w:rFonts w:ascii="Times New Roman" w:eastAsia="Times New Roman" w:hAnsi="Times New Roman" w:cs="Times New Roman"/>
                <w:sz w:val="20"/>
                <w:szCs w:val="20"/>
              </w:rPr>
              <w:t>Práticas De Governança Pública E Sua Relação Com O Desempenho Das Universidades Federais Brasileiras.</w:t>
            </w:r>
          </w:p>
        </w:tc>
        <w:tc>
          <w:tcPr>
            <w:tcW w:w="1843" w:type="dxa"/>
          </w:tcPr>
          <w:p w14:paraId="5263643B" w14:textId="77777777" w:rsidR="003A2854" w:rsidRDefault="00000000">
            <w:pPr>
              <w:tabs>
                <w:tab w:val="left" w:pos="480"/>
              </w:tabs>
              <w:rPr>
                <w:rFonts w:ascii="Times New Roman" w:eastAsia="Times New Roman" w:hAnsi="Times New Roman" w:cs="Times New Roman"/>
                <w:sz w:val="20"/>
                <w:szCs w:val="20"/>
                <w:highlight w:val="yellow"/>
              </w:rPr>
            </w:pPr>
            <w:r>
              <w:rPr>
                <w:rFonts w:ascii="Times New Roman" w:eastAsia="Times New Roman" w:hAnsi="Times New Roman" w:cs="Times New Roman"/>
                <w:color w:val="222222"/>
                <w:sz w:val="20"/>
                <w:szCs w:val="20"/>
                <w:highlight w:val="white"/>
              </w:rPr>
              <w:t xml:space="preserve">Pasquali, Josiane Costa; Da Silva </w:t>
            </w:r>
            <w:proofErr w:type="spellStart"/>
            <w:r>
              <w:rPr>
                <w:rFonts w:ascii="Times New Roman" w:eastAsia="Times New Roman" w:hAnsi="Times New Roman" w:cs="Times New Roman"/>
                <w:color w:val="222222"/>
                <w:sz w:val="20"/>
                <w:szCs w:val="20"/>
                <w:highlight w:val="white"/>
              </w:rPr>
              <w:t>Nottar</w:t>
            </w:r>
            <w:proofErr w:type="spellEnd"/>
            <w:r>
              <w:rPr>
                <w:rFonts w:ascii="Times New Roman" w:eastAsia="Times New Roman" w:hAnsi="Times New Roman" w:cs="Times New Roman"/>
                <w:color w:val="222222"/>
                <w:sz w:val="20"/>
                <w:szCs w:val="20"/>
                <w:highlight w:val="white"/>
              </w:rPr>
              <w:t>, Daiane Inacio; De Mello, Gilmar Ribeiro.</w:t>
            </w:r>
          </w:p>
        </w:tc>
        <w:tc>
          <w:tcPr>
            <w:tcW w:w="1276" w:type="dxa"/>
          </w:tcPr>
          <w:p w14:paraId="4A0909EB" w14:textId="77777777" w:rsidR="003A2854" w:rsidRDefault="00000000">
            <w:pPr>
              <w:ind w:left="-1383"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2021</w:t>
            </w:r>
          </w:p>
        </w:tc>
        <w:tc>
          <w:tcPr>
            <w:tcW w:w="992" w:type="dxa"/>
          </w:tcPr>
          <w:p w14:paraId="57CE5815" w14:textId="77777777" w:rsidR="003A2854" w:rsidRDefault="00000000">
            <w:pPr>
              <w:ind w:left="-38" w:firstLine="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1559" w:type="dxa"/>
          </w:tcPr>
          <w:p w14:paraId="2216040F"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https://saber.unioeste.br/index.php/ccsaemperspectiva/article/view/27368 </w:t>
            </w:r>
          </w:p>
        </w:tc>
      </w:tr>
      <w:tr w:rsidR="003A2854" w14:paraId="11AB673A" w14:textId="77777777">
        <w:tc>
          <w:tcPr>
            <w:tcW w:w="2836" w:type="dxa"/>
          </w:tcPr>
          <w:p w14:paraId="2984EFBA" w14:textId="77777777" w:rsidR="003A2854" w:rsidRDefault="00000000">
            <w:pPr>
              <w:ind w:left="32"/>
              <w:rPr>
                <w:rFonts w:ascii="Times New Roman" w:eastAsia="Times New Roman" w:hAnsi="Times New Roman" w:cs="Times New Roman"/>
                <w:sz w:val="20"/>
                <w:szCs w:val="20"/>
              </w:rPr>
            </w:pPr>
            <w:r>
              <w:rPr>
                <w:rFonts w:ascii="Times New Roman" w:eastAsia="Times New Roman" w:hAnsi="Times New Roman" w:cs="Times New Roman"/>
                <w:sz w:val="20"/>
                <w:szCs w:val="20"/>
              </w:rPr>
              <w:t>Elementos que Impactam a Construção de um Modelo de Governança Pública no Brasil: O Caso da Marinha do Brasil.</w:t>
            </w:r>
          </w:p>
        </w:tc>
        <w:tc>
          <w:tcPr>
            <w:tcW w:w="1843" w:type="dxa"/>
          </w:tcPr>
          <w:p w14:paraId="6BED7302" w14:textId="77777777" w:rsidR="003A2854" w:rsidRDefault="00000000">
            <w:pPr>
              <w:ind w:left="-58"/>
              <w:rPr>
                <w:rFonts w:ascii="Times New Roman" w:eastAsia="Times New Roman" w:hAnsi="Times New Roman" w:cs="Times New Roman"/>
                <w:color w:val="000000"/>
                <w:sz w:val="20"/>
                <w:szCs w:val="20"/>
                <w:highlight w:val="yellow"/>
              </w:rPr>
            </w:pPr>
            <w:proofErr w:type="spellStart"/>
            <w:r>
              <w:rPr>
                <w:rFonts w:ascii="Times New Roman" w:eastAsia="Times New Roman" w:hAnsi="Times New Roman" w:cs="Times New Roman"/>
                <w:color w:val="222222"/>
                <w:sz w:val="20"/>
                <w:szCs w:val="20"/>
                <w:highlight w:val="white"/>
              </w:rPr>
              <w:t>Raschendorfer</w:t>
            </w:r>
            <w:proofErr w:type="spellEnd"/>
            <w:r>
              <w:rPr>
                <w:rFonts w:ascii="Times New Roman" w:eastAsia="Times New Roman" w:hAnsi="Times New Roman" w:cs="Times New Roman"/>
                <w:color w:val="222222"/>
                <w:sz w:val="20"/>
                <w:szCs w:val="20"/>
                <w:highlight w:val="white"/>
              </w:rPr>
              <w:t xml:space="preserve">, Érica Von; Figueira, Ariane </w:t>
            </w:r>
            <w:proofErr w:type="spellStart"/>
            <w:r>
              <w:rPr>
                <w:rFonts w:ascii="Times New Roman" w:eastAsia="Times New Roman" w:hAnsi="Times New Roman" w:cs="Times New Roman"/>
                <w:color w:val="222222"/>
                <w:sz w:val="20"/>
                <w:szCs w:val="20"/>
                <w:highlight w:val="white"/>
              </w:rPr>
              <w:t>Roder</w:t>
            </w:r>
            <w:proofErr w:type="spellEnd"/>
            <w:r>
              <w:rPr>
                <w:rFonts w:ascii="Times New Roman" w:eastAsia="Times New Roman" w:hAnsi="Times New Roman" w:cs="Times New Roman"/>
                <w:color w:val="222222"/>
                <w:sz w:val="20"/>
                <w:szCs w:val="20"/>
                <w:highlight w:val="white"/>
              </w:rPr>
              <w:t>; Furtado, Liliane. </w:t>
            </w:r>
          </w:p>
        </w:tc>
        <w:tc>
          <w:tcPr>
            <w:tcW w:w="1276" w:type="dxa"/>
          </w:tcPr>
          <w:p w14:paraId="0F61F5A9" w14:textId="77777777" w:rsidR="003A2854" w:rsidRDefault="00000000">
            <w:pPr>
              <w:ind w:left="-1383" w:right="60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w:t>
            </w:r>
          </w:p>
        </w:tc>
        <w:tc>
          <w:tcPr>
            <w:tcW w:w="992" w:type="dxa"/>
          </w:tcPr>
          <w:p w14:paraId="3C1A1775" w14:textId="77777777" w:rsidR="003A2854" w:rsidRDefault="00000000">
            <w:pPr>
              <w:ind w:left="-38" w:firstLine="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9" w:type="dxa"/>
          </w:tcPr>
          <w:p w14:paraId="5002ACC8" w14:textId="77777777" w:rsidR="003A2854" w:rsidRDefault="00000000">
            <w:pPr>
              <w:ind w:left="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https://www.scielo.br/j/bbr/a/zMQ7m83NsM5Dp5wgWypvx8s/?lang=pt </w:t>
            </w:r>
          </w:p>
        </w:tc>
      </w:tr>
      <w:tr w:rsidR="003A2854" w14:paraId="098F6EB1" w14:textId="77777777">
        <w:tc>
          <w:tcPr>
            <w:tcW w:w="2836" w:type="dxa"/>
          </w:tcPr>
          <w:p w14:paraId="77A3C521" w14:textId="77777777" w:rsidR="003A2854" w:rsidRDefault="00000000">
            <w:pPr>
              <w:rPr>
                <w:rFonts w:ascii="Times New Roman" w:eastAsia="Times New Roman" w:hAnsi="Times New Roman" w:cs="Times New Roman"/>
                <w:color w:val="44707B"/>
                <w:sz w:val="20"/>
                <w:szCs w:val="20"/>
              </w:rPr>
            </w:pPr>
            <w:r>
              <w:rPr>
                <w:rFonts w:ascii="Times New Roman" w:eastAsia="Times New Roman" w:hAnsi="Times New Roman" w:cs="Times New Roman"/>
                <w:sz w:val="20"/>
                <w:szCs w:val="20"/>
              </w:rPr>
              <w:t>Governança em Segurança Pública: mecanismos de liderança, estratégia e controle na Polícia Rodoviária Federal</w:t>
            </w:r>
          </w:p>
        </w:tc>
        <w:tc>
          <w:tcPr>
            <w:tcW w:w="1843" w:type="dxa"/>
          </w:tcPr>
          <w:p w14:paraId="60CE7181" w14:textId="77777777" w:rsidR="003A2854" w:rsidRDefault="00000000">
            <w:pPr>
              <w:ind w:left="-1273" w:firstLine="1273"/>
              <w:rPr>
                <w:rFonts w:ascii="Times New Roman" w:eastAsia="Times New Roman" w:hAnsi="Times New Roman" w:cs="Times New Roman"/>
                <w:sz w:val="20"/>
                <w:szCs w:val="20"/>
              </w:rPr>
            </w:pPr>
            <w:r>
              <w:rPr>
                <w:rFonts w:ascii="Times New Roman" w:eastAsia="Times New Roman" w:hAnsi="Times New Roman" w:cs="Times New Roman"/>
                <w:sz w:val="20"/>
                <w:szCs w:val="20"/>
              </w:rPr>
              <w:t>Pires, Duarte Raab.</w:t>
            </w:r>
          </w:p>
          <w:p w14:paraId="6AE55F11" w14:textId="77777777" w:rsidR="003A2854" w:rsidRDefault="003A2854">
            <w:pPr>
              <w:rPr>
                <w:rFonts w:ascii="Times New Roman" w:eastAsia="Times New Roman" w:hAnsi="Times New Roman" w:cs="Times New Roman"/>
                <w:color w:val="000000"/>
                <w:sz w:val="20"/>
                <w:szCs w:val="20"/>
                <w:highlight w:val="yellow"/>
              </w:rPr>
            </w:pPr>
          </w:p>
        </w:tc>
        <w:tc>
          <w:tcPr>
            <w:tcW w:w="1276" w:type="dxa"/>
          </w:tcPr>
          <w:p w14:paraId="7C7CFD04" w14:textId="77777777" w:rsidR="003A2854" w:rsidRDefault="00000000">
            <w:pPr>
              <w:ind w:firstLine="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2016</w:t>
            </w:r>
          </w:p>
        </w:tc>
        <w:tc>
          <w:tcPr>
            <w:tcW w:w="992" w:type="dxa"/>
          </w:tcPr>
          <w:p w14:paraId="62038D98" w14:textId="77777777" w:rsidR="003A2854"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w:t>
            </w:r>
          </w:p>
        </w:tc>
        <w:tc>
          <w:tcPr>
            <w:tcW w:w="1559" w:type="dxa"/>
          </w:tcPr>
          <w:p w14:paraId="3D5BE5E6" w14:textId="77777777" w:rsidR="003A2854" w:rsidRDefault="00000000">
            <w:pPr>
              <w:ind w:left="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https://repositorio.ufpe.br/handle/123456789/24384 </w:t>
            </w:r>
          </w:p>
        </w:tc>
      </w:tr>
      <w:tr w:rsidR="003A2854" w14:paraId="2E5863EB" w14:textId="77777777">
        <w:tc>
          <w:tcPr>
            <w:tcW w:w="2836" w:type="dxa"/>
          </w:tcPr>
          <w:p w14:paraId="5E963060" w14:textId="77777777" w:rsidR="003A2854" w:rsidRDefault="00000000">
            <w:pPr>
              <w:rPr>
                <w:rFonts w:ascii="Times New Roman" w:eastAsia="Times New Roman" w:hAnsi="Times New Roman" w:cs="Times New Roman"/>
                <w:color w:val="44707B"/>
                <w:sz w:val="20"/>
                <w:szCs w:val="20"/>
              </w:rPr>
            </w:pPr>
            <w:r>
              <w:rPr>
                <w:rFonts w:ascii="Times New Roman" w:eastAsia="Times New Roman" w:hAnsi="Times New Roman" w:cs="Times New Roman"/>
                <w:sz w:val="20"/>
                <w:szCs w:val="20"/>
              </w:rPr>
              <w:lastRenderedPageBreak/>
              <w:t xml:space="preserve">Governança universitária: um panorama dos estudos científicos desenvolvidos sobre a governança em instituições de educação superior brasileiras </w:t>
            </w:r>
            <w:proofErr w:type="spellStart"/>
            <w:r>
              <w:rPr>
                <w:rFonts w:ascii="Times New Roman" w:eastAsia="Times New Roman" w:hAnsi="Times New Roman" w:cs="Times New Roman"/>
                <w:sz w:val="20"/>
                <w:szCs w:val="20"/>
              </w:rPr>
              <w:t>scielo</w:t>
            </w:r>
            <w:proofErr w:type="spellEnd"/>
            <w:r>
              <w:rPr>
                <w:rFonts w:ascii="Times New Roman" w:eastAsia="Times New Roman" w:hAnsi="Times New Roman" w:cs="Times New Roman"/>
                <w:sz w:val="20"/>
                <w:szCs w:val="20"/>
              </w:rPr>
              <w:t>.</w:t>
            </w:r>
          </w:p>
        </w:tc>
        <w:tc>
          <w:tcPr>
            <w:tcW w:w="1843" w:type="dxa"/>
          </w:tcPr>
          <w:p w14:paraId="42CAB5EE" w14:textId="77777777" w:rsidR="003A2854" w:rsidRDefault="00000000">
            <w:pPr>
              <w:ind w:left="3"/>
              <w:rPr>
                <w:rFonts w:ascii="Times New Roman" w:eastAsia="Times New Roman" w:hAnsi="Times New Roman" w:cs="Times New Roman"/>
                <w:color w:val="000000"/>
                <w:sz w:val="20"/>
                <w:szCs w:val="20"/>
                <w:highlight w:val="yellow"/>
              </w:rPr>
            </w:pPr>
            <w:proofErr w:type="spellStart"/>
            <w:r>
              <w:rPr>
                <w:rFonts w:ascii="Times New Roman" w:eastAsia="Times New Roman" w:hAnsi="Times New Roman" w:cs="Times New Roman"/>
                <w:color w:val="222222"/>
                <w:sz w:val="20"/>
                <w:szCs w:val="20"/>
                <w:highlight w:val="white"/>
              </w:rPr>
              <w:t>GEsser</w:t>
            </w:r>
            <w:proofErr w:type="spellEnd"/>
            <w:r>
              <w:rPr>
                <w:rFonts w:ascii="Times New Roman" w:eastAsia="Times New Roman" w:hAnsi="Times New Roman" w:cs="Times New Roman"/>
                <w:color w:val="222222"/>
                <w:sz w:val="20"/>
                <w:szCs w:val="20"/>
                <w:highlight w:val="white"/>
              </w:rPr>
              <w:t>, Graziele Alano et al.</w:t>
            </w:r>
          </w:p>
        </w:tc>
        <w:tc>
          <w:tcPr>
            <w:tcW w:w="1276" w:type="dxa"/>
          </w:tcPr>
          <w:p w14:paraId="75B24A3E" w14:textId="77777777" w:rsidR="003A2854"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2021</w:t>
            </w:r>
          </w:p>
          <w:p w14:paraId="53D7241C" w14:textId="77777777" w:rsidR="003A2854" w:rsidRDefault="003A2854">
            <w:pPr>
              <w:ind w:left="-48"/>
              <w:jc w:val="center"/>
              <w:rPr>
                <w:rFonts w:ascii="Times New Roman" w:eastAsia="Times New Roman" w:hAnsi="Times New Roman" w:cs="Times New Roman"/>
                <w:sz w:val="20"/>
                <w:szCs w:val="20"/>
              </w:rPr>
            </w:pPr>
          </w:p>
        </w:tc>
        <w:tc>
          <w:tcPr>
            <w:tcW w:w="992" w:type="dxa"/>
          </w:tcPr>
          <w:p w14:paraId="7F911C1C" w14:textId="77777777" w:rsidR="003A2854" w:rsidRDefault="00000000">
            <w:pPr>
              <w:jc w:val="center"/>
            </w:pPr>
            <w:r>
              <w:rPr>
                <w:rFonts w:ascii="Times New Roman" w:eastAsia="Times New Roman" w:hAnsi="Times New Roman" w:cs="Times New Roman"/>
                <w:color w:val="000000"/>
                <w:sz w:val="20"/>
                <w:szCs w:val="20"/>
              </w:rPr>
              <w:t>11</w:t>
            </w:r>
          </w:p>
        </w:tc>
        <w:tc>
          <w:tcPr>
            <w:tcW w:w="1559" w:type="dxa"/>
          </w:tcPr>
          <w:p w14:paraId="7CF06B7C" w14:textId="77777777" w:rsidR="003A2854" w:rsidRDefault="00000000">
            <w:pPr>
              <w:rPr>
                <w:rFonts w:ascii="Times New Roman" w:eastAsia="Times New Roman" w:hAnsi="Times New Roman" w:cs="Times New Roman"/>
                <w:color w:val="000000"/>
                <w:sz w:val="20"/>
                <w:szCs w:val="20"/>
              </w:rPr>
            </w:pPr>
            <w:bookmarkStart w:id="14" w:name="_is03f81g4eb3" w:colFirst="0" w:colLast="0"/>
            <w:bookmarkEnd w:id="14"/>
            <w:r>
              <w:rPr>
                <w:rFonts w:ascii="Times New Roman" w:eastAsia="Times New Roman" w:hAnsi="Times New Roman" w:cs="Times New Roman"/>
                <w:color w:val="000000"/>
                <w:sz w:val="20"/>
                <w:szCs w:val="20"/>
              </w:rPr>
              <w:t xml:space="preserve">https://www.scielo.br/j/aval/a/dHSCFkhscTBnXtYzv59KBgD/ </w:t>
            </w:r>
          </w:p>
        </w:tc>
      </w:tr>
    </w:tbl>
    <w:p w14:paraId="0FFDE931" w14:textId="77777777" w:rsidR="003A2854" w:rsidRDefault="00000000">
      <w:pPr>
        <w:spacing w:before="3"/>
        <w:ind w:right="543"/>
        <w:rPr>
          <w:rFonts w:ascii="Cambria" w:eastAsia="Cambria" w:hAnsi="Cambria" w:cs="Cambria"/>
          <w:sz w:val="20"/>
          <w:szCs w:val="20"/>
        </w:rPr>
      </w:pPr>
      <w:r>
        <w:rPr>
          <w:rFonts w:ascii="Cambria" w:eastAsia="Cambria" w:hAnsi="Cambria" w:cs="Cambria"/>
          <w:sz w:val="20"/>
          <w:szCs w:val="20"/>
        </w:rPr>
        <w:t>Fonte: Elaborado pelas autoras (2023).</w:t>
      </w:r>
    </w:p>
    <w:p w14:paraId="1AE7C6D5" w14:textId="77777777" w:rsidR="003A2854"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achado é notável, especialmente após inúmeras tentativas de aplicação de diversos filtros, com o objetivo de selecionar artigos que contivessem as palavras-chave "governança pública" e "liderança", juntamente com a inclusão do termo "TCU". No entanto, não houve retorno de resultados quando o termo “TCU” foi utilizado nos filtros.</w:t>
      </w:r>
    </w:p>
    <w:p w14:paraId="48C39E8A" w14:textId="77777777" w:rsidR="003A285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investigações foram realizadas para evidenciar que artigos mais recentes não podem ter sido ainda detectados pelos pesquisadores. Além disso, essa escassez de resultados pode sugerir que houve um período em que a pesquisa sobre liderança na governança pública em universidades públicas recebeu pouca atenção acadêmica.</w:t>
      </w:r>
    </w:p>
    <w:p w14:paraId="13A5E0B6" w14:textId="77777777" w:rsidR="003A2854"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que se refere à base de dados SciELO, a situação se assemelhou à CAPES, quando tentamos incluir os termos “liderança”, “governança pública” e “TCU” nos filtros. Para obter resultados relacionados às palavras-chave, foi necessário excluir o termo "TCU" dos filtros. Na base de dados SciELO, selecionamos artigos publicados entre 2020 e 2023, mesmo que houvesse poucas citações essa escolha foi justificada pela qualidade das obras, conforme definido nas etapas da Metodologia </w:t>
      </w:r>
      <w:proofErr w:type="spellStart"/>
      <w:r>
        <w:rPr>
          <w:rFonts w:ascii="Times New Roman" w:eastAsia="Times New Roman" w:hAnsi="Times New Roman" w:cs="Times New Roman"/>
          <w:sz w:val="24"/>
          <w:szCs w:val="24"/>
        </w:rPr>
        <w:t>Proknow</w:t>
      </w:r>
      <w:proofErr w:type="spellEnd"/>
      <w:r>
        <w:rPr>
          <w:rFonts w:ascii="Times New Roman" w:eastAsia="Times New Roman" w:hAnsi="Times New Roman" w:cs="Times New Roman"/>
          <w:sz w:val="24"/>
          <w:szCs w:val="24"/>
        </w:rPr>
        <w:t>-C.</w:t>
      </w:r>
    </w:p>
    <w:p w14:paraId="5DAA7205" w14:textId="77777777" w:rsidR="003A2854"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ser adotado esse procedimento conforme protocolo, foi observado que vários artigos ainda não apresentam um número significativo de citações, o que pode ser atribuído, em algumas situações, ao fato de terem sido publicados recentemente.</w:t>
      </w:r>
    </w:p>
    <w:p w14:paraId="6EE503BA" w14:textId="77777777" w:rsidR="003A2854" w:rsidRDefault="0000000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análise da base de dados BDTD, foi necessário refinar a pesquisa para o período de 2000 a 2023, a fim de selecionar trabalhos que contivessem como palavras-chave “governança pública”, “universidade pública” e “liderança”. Dentro desse intervalo de tempo, não foi possível identificar artigos com essas palavras-chave; apenas dissertações e teses foram descobertas. Quando incluído o termo "TCU" nos filtros, não </w:t>
      </w:r>
      <w:proofErr w:type="gramStart"/>
      <w:r>
        <w:rPr>
          <w:rFonts w:ascii="Times New Roman" w:eastAsia="Times New Roman" w:hAnsi="Times New Roman" w:cs="Times New Roman"/>
          <w:sz w:val="24"/>
          <w:szCs w:val="24"/>
        </w:rPr>
        <w:t>obteve-se</w:t>
      </w:r>
      <w:proofErr w:type="gramEnd"/>
      <w:r>
        <w:rPr>
          <w:rFonts w:ascii="Times New Roman" w:eastAsia="Times New Roman" w:hAnsi="Times New Roman" w:cs="Times New Roman"/>
          <w:sz w:val="24"/>
          <w:szCs w:val="24"/>
        </w:rPr>
        <w:t xml:space="preserve"> nenhum resultado. Ao final de todo o processo de pesquisa, análise e discussão dos dados, chegou-se à última etapa </w:t>
      </w:r>
      <w:r>
        <w:rPr>
          <w:rFonts w:ascii="Times New Roman" w:eastAsia="Times New Roman" w:hAnsi="Times New Roman" w:cs="Times New Roman"/>
          <w:sz w:val="24"/>
          <w:szCs w:val="24"/>
        </w:rPr>
        <w:lastRenderedPageBreak/>
        <w:t xml:space="preserve">definida no protocolo da Metodologia </w:t>
      </w:r>
      <w:proofErr w:type="spellStart"/>
      <w:r>
        <w:rPr>
          <w:rFonts w:ascii="Times New Roman" w:eastAsia="Times New Roman" w:hAnsi="Times New Roman" w:cs="Times New Roman"/>
          <w:sz w:val="24"/>
          <w:szCs w:val="24"/>
        </w:rPr>
        <w:t>Proknow</w:t>
      </w:r>
      <w:proofErr w:type="spellEnd"/>
      <w:r>
        <w:rPr>
          <w:rFonts w:ascii="Times New Roman" w:eastAsia="Times New Roman" w:hAnsi="Times New Roman" w:cs="Times New Roman"/>
          <w:sz w:val="24"/>
          <w:szCs w:val="24"/>
        </w:rPr>
        <w:t>-C, conforme apresentado no Quadro 2 acima, que inclui informações sobre o número de artigos selecionados, autoria, ano de publicação, quantidade de solicitações e link de acesso correspondente.</w:t>
      </w:r>
    </w:p>
    <w:p w14:paraId="62CCF592"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t>5 CONCLUSÃO</w:t>
      </w:r>
    </w:p>
    <w:p w14:paraId="6BF5DDBE"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Chegando ao fim deste estudo, fica difícil ignorar o quanto ainda falta ser explorado quando o assunto é a liderança como componente da governança pública nas universidades brasileiras. A lacuna não é só teórica ou metodológica — ela é também prática. E talvez por isso mesmo, tão evidente. A articulação entre os termos “liderança”, “governança pública” e “TCU” aparece, nas buscas realizadas entre 2019 e 2023, com uma frequência que beira o inexistente. Isso surpreende, considerando a relevância que cada um desses elementos tem, inclusive separadamente.</w:t>
      </w:r>
    </w:p>
    <w:p w14:paraId="5248BDF4"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 o que mais chama atenção — e aqui é importante frisar — não é apenas a quantidade limitada de estudos encontrados. O modo como eles tratam o tema também é, em parte, preocupante. A maioria das análises acaba se concentrando nos aspectos mais estruturais ou procedimentais da governança, o que é compreensível. No entanto, o papel da liderança, que poderia (e deveria) funcionar como elo entre planejamento e controle, segue sendo colocado num segundo plano. É como se estivesse sempre ali, mas sem o devido protagonismo.</w:t>
      </w:r>
    </w:p>
    <w:p w14:paraId="4BAC241D"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base nos dados levantados, fica claro que há espaço — e até uma certa urgência — para que novas pesquisas enfrentem o tema com mais profundidade. Não basta tratar a liderança como uma função ocupada por alguém com cargo de direção. É preciso ir além: discutir como esses líderes são escolhidos, preparados e avaliados. </w:t>
      </w:r>
      <w:proofErr w:type="gramStart"/>
      <w:r>
        <w:rPr>
          <w:rFonts w:ascii="Times New Roman" w:eastAsia="Times New Roman" w:hAnsi="Times New Roman" w:cs="Times New Roman"/>
          <w:sz w:val="24"/>
          <w:szCs w:val="24"/>
        </w:rPr>
        <w:t>E também</w:t>
      </w:r>
      <w:proofErr w:type="gramEnd"/>
      <w:r>
        <w:rPr>
          <w:rFonts w:ascii="Times New Roman" w:eastAsia="Times New Roman" w:hAnsi="Times New Roman" w:cs="Times New Roman"/>
          <w:sz w:val="24"/>
          <w:szCs w:val="24"/>
        </w:rPr>
        <w:t xml:space="preserve"> entender como suas práticas influenciam, de forma concreta, a cultura organizacional e os resultados entregues à sociedade.</w:t>
      </w:r>
    </w:p>
    <w:p w14:paraId="25F24AA6" w14:textId="77777777" w:rsidR="003A2854" w:rsidRDefault="0000000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é um desafio considerável, claro. Mas é também uma oportunidade de qualificar o debate sobre governança pública em instituições que, como as universidades, possuem papel estratégico na formação de quadros e na produção de conhecimento. Em outras palavras, olhar para a liderança não como algo periférico, mas como um componente estruturante da boa gestão pública — talvez esse seja o ponto de partida que ainda falta em boa parte das pesquisas existentes.</w:t>
      </w:r>
    </w:p>
    <w:p w14:paraId="5B267B2D" w14:textId="77777777" w:rsidR="003A2854" w:rsidRDefault="00000000">
      <w:pPr>
        <w:spacing w:after="0" w:line="360" w:lineRule="auto"/>
        <w:jc w:val="both"/>
        <w:rPr>
          <w:rFonts w:ascii="Cambria" w:eastAsia="Cambria" w:hAnsi="Cambria" w:cs="Cambria"/>
          <w:sz w:val="28"/>
          <w:szCs w:val="28"/>
        </w:rPr>
      </w:pPr>
      <w:r>
        <w:rPr>
          <w:rFonts w:ascii="Cambria" w:eastAsia="Cambria" w:hAnsi="Cambria" w:cs="Cambria"/>
          <w:b/>
          <w:sz w:val="28"/>
          <w:szCs w:val="28"/>
        </w:rPr>
        <w:lastRenderedPageBreak/>
        <w:t>6 REFERÊNCIAS</w:t>
      </w:r>
    </w:p>
    <w:p w14:paraId="6E504204" w14:textId="77777777" w:rsidR="003A285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ANDRADE, Alexandre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de Oliveira. </w:t>
      </w:r>
      <w:r>
        <w:rPr>
          <w:rFonts w:ascii="Times New Roman" w:eastAsia="Times New Roman" w:hAnsi="Times New Roman" w:cs="Times New Roman"/>
          <w:b/>
          <w:sz w:val="24"/>
          <w:szCs w:val="24"/>
        </w:rPr>
        <w:t>Análise do Índice de Governança Geral (IGG) da Universidade Federal do Tocantins (UFT) como instrumento orientador da governança da Universidade Estadual do Tocantins (</w:t>
      </w:r>
      <w:proofErr w:type="spellStart"/>
      <w:r>
        <w:rPr>
          <w:rFonts w:ascii="Times New Roman" w:eastAsia="Times New Roman" w:hAnsi="Times New Roman" w:cs="Times New Roman"/>
          <w:b/>
          <w:sz w:val="24"/>
          <w:szCs w:val="24"/>
        </w:rPr>
        <w:t>Unitins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.2023. 150f. Dissertação (Mestrado em Desenvolvimento Regional) – Universidade Federal do Tocantins, Programa de Pós-Graduação em Desenvolvimento Regional, Palmas, 2023. Disponível em: https://repositorio.uft.edu.br/handle/11612/5263. Acesso em: 26 mai. 2023.</w:t>
      </w:r>
    </w:p>
    <w:p w14:paraId="18017709" w14:textId="77777777" w:rsidR="003A2854" w:rsidRDefault="003A2854">
      <w:pPr>
        <w:spacing w:after="0" w:line="240" w:lineRule="auto"/>
        <w:rPr>
          <w:rFonts w:ascii="Times New Roman" w:eastAsia="Times New Roman" w:hAnsi="Times New Roman" w:cs="Times New Roman"/>
          <w:sz w:val="24"/>
          <w:szCs w:val="24"/>
        </w:rPr>
      </w:pPr>
    </w:p>
    <w:p w14:paraId="0B40572F" w14:textId="77777777" w:rsidR="003A28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Tribunal de Contas da União. </w:t>
      </w:r>
      <w:r>
        <w:rPr>
          <w:rFonts w:ascii="Times New Roman" w:eastAsia="Times New Roman" w:hAnsi="Times New Roman" w:cs="Times New Roman"/>
          <w:b/>
          <w:color w:val="000000"/>
          <w:sz w:val="24"/>
          <w:szCs w:val="24"/>
        </w:rPr>
        <w:t>Referencial Básico de Governança Aplicável a Órgãos e Entidades da Administração pública</w:t>
      </w:r>
      <w:r>
        <w:rPr>
          <w:rFonts w:ascii="Times New Roman" w:eastAsia="Times New Roman" w:hAnsi="Times New Roman" w:cs="Times New Roman"/>
          <w:color w:val="000000"/>
          <w:sz w:val="24"/>
          <w:szCs w:val="24"/>
        </w:rPr>
        <w:t>. Brasília: TCU, 2013. Disponível em: https://portal.tcu.gov.br/data/files/6A/B6/39/85/1CD4671023455957E18818A8/Referencial_basico_governanca_1_edicao.PDF. Acesso em: 25 ago. 2022.</w:t>
      </w:r>
    </w:p>
    <w:p w14:paraId="3E5D616B" w14:textId="77777777" w:rsidR="003A2854" w:rsidRDefault="003A2854">
      <w:pPr>
        <w:spacing w:after="0" w:line="240" w:lineRule="auto"/>
        <w:rPr>
          <w:rFonts w:ascii="Times New Roman" w:eastAsia="Times New Roman" w:hAnsi="Times New Roman" w:cs="Times New Roman"/>
          <w:sz w:val="24"/>
          <w:szCs w:val="24"/>
        </w:rPr>
      </w:pPr>
    </w:p>
    <w:p w14:paraId="1F6F1A51" w14:textId="77777777" w:rsidR="003A28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Tribunal de Contas da União. </w:t>
      </w:r>
      <w:r>
        <w:rPr>
          <w:rFonts w:ascii="Times New Roman" w:eastAsia="Times New Roman" w:hAnsi="Times New Roman" w:cs="Times New Roman"/>
          <w:b/>
          <w:color w:val="000000"/>
          <w:sz w:val="24"/>
          <w:szCs w:val="24"/>
        </w:rPr>
        <w:t xml:space="preserve">Governança pública: </w:t>
      </w:r>
      <w:r>
        <w:rPr>
          <w:rFonts w:ascii="Times New Roman" w:eastAsia="Times New Roman" w:hAnsi="Times New Roman" w:cs="Times New Roman"/>
          <w:color w:val="000000"/>
          <w:sz w:val="24"/>
          <w:szCs w:val="24"/>
        </w:rPr>
        <w:t xml:space="preserve">referencial básico. Brasília: </w:t>
      </w:r>
    </w:p>
    <w:p w14:paraId="0451641B" w14:textId="77777777" w:rsidR="003A28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TCU, Secretaria de Controle Externo, 2014. Disponível em: https://portal.tcu.gov.br/data/files/FA/B6/EA/85/1CD4671023455957E18818A8/Referencial_basico_governanca_2_edicao.PDF. Acesso em: 31 mar. 2023.</w:t>
      </w:r>
    </w:p>
    <w:p w14:paraId="417A08A5"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1AA7B8F" w14:textId="77777777" w:rsidR="003A28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Decreto nº 9.203, de 22 de novembro de 2017. </w:t>
      </w:r>
      <w:r>
        <w:rPr>
          <w:rFonts w:ascii="Times New Roman" w:eastAsia="Times New Roman" w:hAnsi="Times New Roman" w:cs="Times New Roman"/>
          <w:b/>
          <w:color w:val="000000"/>
          <w:sz w:val="24"/>
          <w:szCs w:val="24"/>
        </w:rPr>
        <w:t>Dispõe sobre a política de governança da administração pública federal direta, autárquica e fundacional.</w:t>
      </w:r>
      <w:r>
        <w:rPr>
          <w:rFonts w:ascii="Times New Roman" w:eastAsia="Times New Roman" w:hAnsi="Times New Roman" w:cs="Times New Roman"/>
          <w:color w:val="000000"/>
          <w:sz w:val="24"/>
          <w:szCs w:val="24"/>
        </w:rPr>
        <w:t xml:space="preserve"> Diário Oficial da União, Brasília, DF, 22 jun. 1993. Disponível em: https://www2.camara.leg.br/legin/fed/decret/2017/decreto-9203-22-novembro-2017-785782-publicacaooriginal-154277-pe.html</w:t>
      </w:r>
      <w:r>
        <w:rPr>
          <w:rFonts w:ascii="Times New Roman" w:eastAsia="Times New Roman" w:hAnsi="Times New Roman" w:cs="Times New Roman"/>
          <w:color w:val="0563C1"/>
          <w:sz w:val="24"/>
          <w:szCs w:val="24"/>
        </w:rPr>
        <w:t>.</w:t>
      </w:r>
      <w:r>
        <w:rPr>
          <w:rFonts w:ascii="Times New Roman" w:eastAsia="Times New Roman" w:hAnsi="Times New Roman" w:cs="Times New Roman"/>
          <w:color w:val="0563C1"/>
          <w:sz w:val="24"/>
          <w:szCs w:val="24"/>
          <w:u w:val="single"/>
        </w:rPr>
        <w:t xml:space="preserve"> </w:t>
      </w:r>
      <w:r>
        <w:rPr>
          <w:rFonts w:ascii="Times New Roman" w:eastAsia="Times New Roman" w:hAnsi="Times New Roman" w:cs="Times New Roman"/>
          <w:color w:val="000000"/>
          <w:sz w:val="24"/>
          <w:szCs w:val="24"/>
        </w:rPr>
        <w:t xml:space="preserve">Acesso em: 25 ago. 2022.    </w:t>
      </w:r>
    </w:p>
    <w:p w14:paraId="0452D9B8"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77273B" w14:textId="77777777" w:rsidR="003A285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BRASIL. </w:t>
      </w:r>
      <w:r>
        <w:rPr>
          <w:rFonts w:ascii="Times New Roman" w:eastAsia="Times New Roman" w:hAnsi="Times New Roman" w:cs="Times New Roman"/>
          <w:b/>
          <w:sz w:val="24"/>
          <w:szCs w:val="24"/>
          <w:highlight w:val="white"/>
        </w:rPr>
        <w:t>Guia da política de governança pública</w:t>
      </w:r>
      <w:r>
        <w:rPr>
          <w:rFonts w:ascii="Times New Roman" w:eastAsia="Times New Roman" w:hAnsi="Times New Roman" w:cs="Times New Roman"/>
          <w:sz w:val="24"/>
          <w:szCs w:val="24"/>
          <w:highlight w:val="white"/>
        </w:rPr>
        <w:t>. Casa Civil da Presidência da República – Brasília: 2018. 86p. Disponível em: https://www.gov.br/casacivil/pt-br/centrais-de-conteudo/downloads/guia-da-politica-de-governanca-publica. Acesso em 04 abr. 2023.</w:t>
      </w:r>
    </w:p>
    <w:p w14:paraId="6B290CE5"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0E0992A" w14:textId="77777777" w:rsidR="003A28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Tribunal de Contas da União. </w:t>
      </w:r>
      <w:r>
        <w:rPr>
          <w:rFonts w:ascii="Times New Roman" w:eastAsia="Times New Roman" w:hAnsi="Times New Roman" w:cs="Times New Roman"/>
          <w:b/>
          <w:color w:val="000000"/>
          <w:sz w:val="24"/>
          <w:szCs w:val="24"/>
        </w:rPr>
        <w:t>Referencial básico de governança aplicável a organizações públicas e outros entes jurisdicionados ao TCU</w:t>
      </w:r>
      <w:r>
        <w:rPr>
          <w:rFonts w:ascii="Times New Roman" w:eastAsia="Times New Roman" w:hAnsi="Times New Roman" w:cs="Times New Roman"/>
          <w:color w:val="000000"/>
          <w:sz w:val="24"/>
          <w:szCs w:val="24"/>
        </w:rPr>
        <w:t>. Brasília: TCU, 2020. Disponível em: https://portal.tcu.gov.br/imprensa/noticias/tcu-publica-a-3-edicao-do-referencial-basico-de-governanca-organizacional.htm. Acesso em: 25 ago. 2022.</w:t>
      </w:r>
    </w:p>
    <w:p w14:paraId="6360B05B"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5A7392" w14:textId="77777777" w:rsidR="003A2854" w:rsidRDefault="00000000">
      <w:p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1C1C1C"/>
          <w:sz w:val="24"/>
          <w:szCs w:val="24"/>
        </w:rPr>
        <w:t>BENTO, Leonardo V. </w:t>
      </w:r>
      <w:r>
        <w:rPr>
          <w:rFonts w:ascii="Times New Roman" w:eastAsia="Times New Roman" w:hAnsi="Times New Roman" w:cs="Times New Roman"/>
          <w:b/>
          <w:color w:val="1C1C1C"/>
          <w:sz w:val="24"/>
          <w:szCs w:val="24"/>
        </w:rPr>
        <w:t xml:space="preserve">Governança e governabilidade na reforma do Estado: </w:t>
      </w:r>
      <w:r>
        <w:rPr>
          <w:rFonts w:ascii="Times New Roman" w:eastAsia="Times New Roman" w:hAnsi="Times New Roman" w:cs="Times New Roman"/>
          <w:color w:val="1C1C1C"/>
          <w:sz w:val="24"/>
          <w:szCs w:val="24"/>
        </w:rPr>
        <w:t>entre eficiência e democratização</w:t>
      </w:r>
      <w:r>
        <w:rPr>
          <w:rFonts w:ascii="Times New Roman" w:eastAsia="Times New Roman" w:hAnsi="Times New Roman" w:cs="Times New Roman"/>
          <w:b/>
          <w:color w:val="1C1C1C"/>
          <w:sz w:val="24"/>
          <w:szCs w:val="24"/>
        </w:rPr>
        <w:t>.</w:t>
      </w:r>
      <w:r>
        <w:rPr>
          <w:rFonts w:ascii="Times New Roman" w:eastAsia="Times New Roman" w:hAnsi="Times New Roman" w:cs="Times New Roman"/>
          <w:color w:val="1C1C1C"/>
          <w:sz w:val="24"/>
          <w:szCs w:val="24"/>
        </w:rPr>
        <w:t> Barueri, SP: Manole, 2003. </w:t>
      </w:r>
      <w:r>
        <w:rPr>
          <w:rFonts w:ascii="Times New Roman" w:eastAsia="Times New Roman" w:hAnsi="Times New Roman" w:cs="Times New Roman"/>
          <w:i/>
          <w:color w:val="1C1C1C"/>
          <w:sz w:val="24"/>
          <w:szCs w:val="24"/>
        </w:rPr>
        <w:t>E-book. </w:t>
      </w:r>
      <w:r>
        <w:rPr>
          <w:rFonts w:ascii="Times New Roman" w:eastAsia="Times New Roman" w:hAnsi="Times New Roman" w:cs="Times New Roman"/>
          <w:color w:val="1C1C1C"/>
          <w:sz w:val="24"/>
          <w:szCs w:val="24"/>
        </w:rPr>
        <w:t>ISBN 9788520454916. Disponível em: https://integrada.minhabiblioteca.com.br/#/books/9788520454916/. Acesso em: 20 nov. 2023.</w:t>
      </w:r>
    </w:p>
    <w:p w14:paraId="1C1059B8" w14:textId="77777777" w:rsidR="003A2854" w:rsidRDefault="003A2854">
      <w:pPr>
        <w:pBdr>
          <w:top w:val="nil"/>
          <w:left w:val="nil"/>
          <w:bottom w:val="nil"/>
          <w:right w:val="nil"/>
          <w:between w:val="nil"/>
        </w:pBdr>
        <w:tabs>
          <w:tab w:val="left" w:pos="2680"/>
        </w:tabs>
        <w:spacing w:after="0" w:line="240" w:lineRule="auto"/>
        <w:rPr>
          <w:rFonts w:ascii="Times New Roman" w:eastAsia="Times New Roman" w:hAnsi="Times New Roman" w:cs="Times New Roman"/>
          <w:smallCaps/>
          <w:color w:val="000000"/>
          <w:sz w:val="24"/>
          <w:szCs w:val="24"/>
        </w:rPr>
      </w:pPr>
    </w:p>
    <w:p w14:paraId="3A4EABBB" w14:textId="77777777" w:rsidR="003A2854" w:rsidRDefault="00000000">
      <w:pPr>
        <w:pBdr>
          <w:top w:val="nil"/>
          <w:left w:val="nil"/>
          <w:bottom w:val="nil"/>
          <w:right w:val="nil"/>
          <w:between w:val="nil"/>
        </w:pBdr>
        <w:tabs>
          <w:tab w:val="left" w:pos="2680"/>
        </w:tabs>
        <w:spacing w:after="0" w:line="240" w:lineRule="auto"/>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 xml:space="preserve">CIPFA; OPM. </w:t>
      </w:r>
      <w:r>
        <w:rPr>
          <w:rFonts w:ascii="Times New Roman" w:eastAsia="Times New Roman" w:hAnsi="Times New Roman" w:cs="Times New Roman"/>
          <w:i/>
          <w:color w:val="000000"/>
          <w:sz w:val="24"/>
          <w:szCs w:val="24"/>
        </w:rPr>
        <w:t xml:space="preserve">The </w:t>
      </w:r>
      <w:proofErr w:type="spellStart"/>
      <w:r>
        <w:rPr>
          <w:rFonts w:ascii="Times New Roman" w:eastAsia="Times New Roman" w:hAnsi="Times New Roman" w:cs="Times New Roman"/>
          <w:i/>
          <w:color w:val="000000"/>
          <w:sz w:val="24"/>
          <w:szCs w:val="24"/>
        </w:rPr>
        <w:t>Good</w:t>
      </w:r>
      <w:proofErr w:type="spellEnd"/>
      <w:r>
        <w:rPr>
          <w:rFonts w:ascii="Times New Roman" w:eastAsia="Times New Roman" w:hAnsi="Times New Roman" w:cs="Times New Roman"/>
          <w:i/>
          <w:color w:val="000000"/>
          <w:sz w:val="24"/>
          <w:szCs w:val="24"/>
        </w:rPr>
        <w:t xml:space="preserve"> Governance Standard for </w:t>
      </w:r>
      <w:proofErr w:type="spellStart"/>
      <w:r>
        <w:rPr>
          <w:rFonts w:ascii="Times New Roman" w:eastAsia="Times New Roman" w:hAnsi="Times New Roman" w:cs="Times New Roman"/>
          <w:i/>
          <w:color w:val="000000"/>
          <w:sz w:val="24"/>
          <w:szCs w:val="24"/>
        </w:rPr>
        <w:t>Public</w:t>
      </w:r>
      <w:proofErr w:type="spellEnd"/>
      <w:r>
        <w:rPr>
          <w:rFonts w:ascii="Times New Roman" w:eastAsia="Times New Roman" w:hAnsi="Times New Roman" w:cs="Times New Roman"/>
          <w:i/>
          <w:color w:val="000000"/>
          <w:sz w:val="24"/>
          <w:szCs w:val="24"/>
        </w:rPr>
        <w:t xml:space="preserve"> Services.</w:t>
      </w:r>
      <w:r>
        <w:rPr>
          <w:rFonts w:ascii="Times New Roman" w:eastAsia="Times New Roman" w:hAnsi="Times New Roman" w:cs="Times New Roman"/>
          <w:color w:val="000000"/>
          <w:sz w:val="24"/>
          <w:szCs w:val="24"/>
        </w:rPr>
        <w:t xml:space="preserve"> London: The Independent Commission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Good</w:t>
      </w:r>
      <w:proofErr w:type="spellEnd"/>
      <w:r>
        <w:rPr>
          <w:rFonts w:ascii="Times New Roman" w:eastAsia="Times New Roman" w:hAnsi="Times New Roman" w:cs="Times New Roman"/>
          <w:color w:val="000000"/>
          <w:sz w:val="24"/>
          <w:szCs w:val="24"/>
        </w:rPr>
        <w:t xml:space="preserve"> Governance in </w:t>
      </w:r>
      <w:proofErr w:type="spellStart"/>
      <w:r>
        <w:rPr>
          <w:rFonts w:ascii="Times New Roman" w:eastAsia="Times New Roman" w:hAnsi="Times New Roman" w:cs="Times New Roman"/>
          <w:color w:val="000000"/>
          <w:sz w:val="24"/>
          <w:szCs w:val="24"/>
        </w:rPr>
        <w:t>Public</w:t>
      </w:r>
      <w:proofErr w:type="spellEnd"/>
      <w:r>
        <w:rPr>
          <w:rFonts w:ascii="Times New Roman" w:eastAsia="Times New Roman" w:hAnsi="Times New Roman" w:cs="Times New Roman"/>
          <w:color w:val="000000"/>
          <w:sz w:val="24"/>
          <w:szCs w:val="24"/>
        </w:rPr>
        <w:t xml:space="preserve"> Services</w:t>
      </w:r>
      <w:r>
        <w:rPr>
          <w:rFonts w:ascii="Times New Roman" w:eastAsia="Times New Roman" w:hAnsi="Times New Roman" w:cs="Times New Roman"/>
          <w:smallCaps/>
          <w:color w:val="000000"/>
          <w:sz w:val="24"/>
          <w:szCs w:val="24"/>
        </w:rPr>
        <w:t xml:space="preserve">, 2004. </w:t>
      </w:r>
      <w:r>
        <w:rPr>
          <w:rFonts w:ascii="Times New Roman" w:eastAsia="Times New Roman" w:hAnsi="Times New Roman" w:cs="Times New Roman"/>
          <w:color w:val="000000"/>
          <w:sz w:val="24"/>
          <w:szCs w:val="24"/>
        </w:rPr>
        <w:lastRenderedPageBreak/>
        <w:t>Disponível em</w:t>
      </w:r>
      <w:r>
        <w:rPr>
          <w:rFonts w:ascii="Times New Roman" w:eastAsia="Times New Roman" w:hAnsi="Times New Roman" w:cs="Times New Roman"/>
          <w:smallCaps/>
          <w:color w:val="000000"/>
          <w:sz w:val="24"/>
          <w:szCs w:val="24"/>
        </w:rPr>
        <w:t xml:space="preserve">: </w:t>
      </w:r>
      <w:r>
        <w:rPr>
          <w:rFonts w:ascii="Times New Roman" w:eastAsia="Times New Roman" w:hAnsi="Times New Roman" w:cs="Times New Roman"/>
          <w:color w:val="000000"/>
          <w:sz w:val="24"/>
          <w:szCs w:val="24"/>
        </w:rPr>
        <w:t>https://www.cipfa.org/policy-and-guidance/reports/the-good-governance-standard-for-public-services</w:t>
      </w:r>
      <w:r>
        <w:rPr>
          <w:rFonts w:ascii="Times New Roman" w:eastAsia="Times New Roman" w:hAnsi="Times New Roman" w:cs="Times New Roman"/>
          <w:smallCaps/>
          <w:color w:val="000000"/>
          <w:sz w:val="24"/>
          <w:szCs w:val="24"/>
        </w:rPr>
        <w:t xml:space="preserve">. </w:t>
      </w:r>
      <w:r>
        <w:rPr>
          <w:rFonts w:ascii="Times New Roman" w:eastAsia="Times New Roman" w:hAnsi="Times New Roman" w:cs="Times New Roman"/>
          <w:color w:val="000000"/>
          <w:sz w:val="24"/>
          <w:szCs w:val="24"/>
        </w:rPr>
        <w:t>Acesso em</w:t>
      </w:r>
      <w:r>
        <w:rPr>
          <w:rFonts w:ascii="Times New Roman" w:eastAsia="Times New Roman" w:hAnsi="Times New Roman" w:cs="Times New Roman"/>
          <w:smallCaps/>
          <w:color w:val="000000"/>
          <w:sz w:val="24"/>
          <w:szCs w:val="24"/>
        </w:rPr>
        <w:t>: 08 ABR. 2025.</w:t>
      </w:r>
    </w:p>
    <w:p w14:paraId="771EEE23"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8A2A04F" w14:textId="77777777" w:rsidR="003A285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IBGC - INSTITUTO BRASILEIRO DE GOVERNANÇA CORPORATIVA. </w:t>
      </w:r>
      <w:r>
        <w:rPr>
          <w:rFonts w:ascii="Times New Roman" w:eastAsia="Times New Roman" w:hAnsi="Times New Roman" w:cs="Times New Roman"/>
          <w:b/>
          <w:sz w:val="24"/>
          <w:szCs w:val="24"/>
        </w:rPr>
        <w:t>Código das melhores práticas de governança corporativa</w:t>
      </w:r>
      <w:r>
        <w:rPr>
          <w:rFonts w:ascii="Times New Roman" w:eastAsia="Times New Roman" w:hAnsi="Times New Roman" w:cs="Times New Roman"/>
          <w:sz w:val="24"/>
          <w:szCs w:val="24"/>
        </w:rPr>
        <w:t xml:space="preserve">. 4.ed. São Paulo, </w:t>
      </w:r>
      <w:proofErr w:type="gramStart"/>
      <w:r>
        <w:rPr>
          <w:rFonts w:ascii="Times New Roman" w:eastAsia="Times New Roman" w:hAnsi="Times New Roman" w:cs="Times New Roman"/>
          <w:sz w:val="24"/>
          <w:szCs w:val="24"/>
        </w:rPr>
        <w:t>SP :</w:t>
      </w:r>
      <w:proofErr w:type="gramEnd"/>
      <w:r>
        <w:rPr>
          <w:rFonts w:ascii="Times New Roman" w:eastAsia="Times New Roman" w:hAnsi="Times New Roman" w:cs="Times New Roman"/>
          <w:sz w:val="24"/>
          <w:szCs w:val="24"/>
        </w:rPr>
        <w:t xml:space="preserve"> IBGC, 2009. 73 p. Disponível em: (PDF) Código das Melhores Práticas - IBGC - </w:t>
      </w:r>
      <w:proofErr w:type="gramStart"/>
      <w:r>
        <w:rPr>
          <w:rFonts w:ascii="Times New Roman" w:eastAsia="Times New Roman" w:hAnsi="Times New Roman" w:cs="Times New Roman"/>
          <w:sz w:val="24"/>
          <w:szCs w:val="24"/>
        </w:rPr>
        <w:t>DOCUMENT.ONL .</w:t>
      </w:r>
      <w:proofErr w:type="gramEnd"/>
      <w:r>
        <w:rPr>
          <w:rFonts w:ascii="Times New Roman" w:eastAsia="Times New Roman" w:hAnsi="Times New Roman" w:cs="Times New Roman"/>
          <w:sz w:val="24"/>
          <w:szCs w:val="24"/>
        </w:rPr>
        <w:t xml:space="preserve"> Acesso em: 24 nov. 2023.</w:t>
      </w:r>
    </w:p>
    <w:p w14:paraId="11ECF09C" w14:textId="77777777" w:rsidR="003A2854" w:rsidRDefault="003A28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9D75887" w14:textId="77777777" w:rsidR="003A2854" w:rsidRDefault="00000000">
      <w:pPr>
        <w:spacing w:after="0" w:line="240" w:lineRule="auto"/>
        <w:ind w:right="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LEAL, Igor Campos. </w:t>
      </w:r>
      <w:r>
        <w:rPr>
          <w:rFonts w:ascii="Times New Roman" w:eastAsia="Times New Roman" w:hAnsi="Times New Roman" w:cs="Times New Roman"/>
          <w:b/>
          <w:sz w:val="24"/>
          <w:szCs w:val="24"/>
        </w:rPr>
        <w:t>Análise de Citações da Produção Científica de uma Comunidade</w:t>
      </w:r>
      <w:r>
        <w:rPr>
          <w:rFonts w:ascii="Times New Roman" w:eastAsia="Times New Roman" w:hAnsi="Times New Roman" w:cs="Times New Roman"/>
          <w:sz w:val="24"/>
          <w:szCs w:val="24"/>
        </w:rPr>
        <w:t>: A Construção de uma Ferramenta e sua Aplicação em um Acervo de Teses e Dissertações do PPGCI-UFMG. 2005. Disponível em: https://repositorio.ufmg.br/bitstream/1843/VALA-6KFNN9/1/mestrado___igor_campos_leal.pdf. Acesso em: 26 set. 2023.</w:t>
      </w:r>
    </w:p>
    <w:p w14:paraId="656C144C" w14:textId="77777777" w:rsidR="003A2854"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539EF7" w14:textId="77777777" w:rsidR="003A2854"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OLIVEIRA, Débora </w:t>
      </w:r>
      <w:proofErr w:type="spellStart"/>
      <w:r>
        <w:rPr>
          <w:rFonts w:ascii="Times New Roman" w:eastAsia="Times New Roman" w:hAnsi="Times New Roman" w:cs="Times New Roman"/>
          <w:sz w:val="24"/>
          <w:szCs w:val="24"/>
          <w:highlight w:val="white"/>
        </w:rPr>
        <w:t>Tazinasso</w:t>
      </w:r>
      <w:proofErr w:type="spellEnd"/>
      <w:r>
        <w:rPr>
          <w:rFonts w:ascii="Times New Roman" w:eastAsia="Times New Roman" w:hAnsi="Times New Roman" w:cs="Times New Roman"/>
          <w:sz w:val="24"/>
          <w:szCs w:val="24"/>
          <w:highlight w:val="white"/>
        </w:rPr>
        <w:t xml:space="preserve"> de; TAZINASSO, Luciane. </w:t>
      </w:r>
      <w:r>
        <w:rPr>
          <w:rFonts w:ascii="Times New Roman" w:eastAsia="Times New Roman" w:hAnsi="Times New Roman" w:cs="Times New Roman"/>
          <w:b/>
          <w:sz w:val="24"/>
          <w:szCs w:val="24"/>
          <w:highlight w:val="white"/>
        </w:rPr>
        <w:t>Governança Pública</w:t>
      </w:r>
      <w:r>
        <w:rPr>
          <w:rFonts w:ascii="Times New Roman" w:eastAsia="Times New Roman" w:hAnsi="Times New Roman" w:cs="Times New Roman"/>
          <w:sz w:val="24"/>
          <w:szCs w:val="24"/>
          <w:highlight w:val="white"/>
        </w:rPr>
        <w:t>: Os Indicadores de Governança Mundial dos sete países de maior economia do mundo. In: Congresso Internacional de Administração. 2015. Disponível em: https://encurtador.com.br/4S9XQ. Acesso em: 23 set. 2023.</w:t>
      </w:r>
    </w:p>
    <w:p w14:paraId="6906777E" w14:textId="77777777" w:rsidR="003A2854" w:rsidRDefault="003A2854">
      <w:pPr>
        <w:spacing w:after="0" w:line="240" w:lineRule="auto"/>
        <w:ind w:firstLine="709"/>
        <w:rPr>
          <w:rFonts w:ascii="Times New Roman" w:eastAsia="Times New Roman" w:hAnsi="Times New Roman" w:cs="Times New Roman"/>
          <w:sz w:val="24"/>
          <w:szCs w:val="24"/>
        </w:rPr>
      </w:pPr>
    </w:p>
    <w:p w14:paraId="38231017" w14:textId="77777777" w:rsidR="003A2854"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SANTOS, </w:t>
      </w:r>
      <w:proofErr w:type="spellStart"/>
      <w:r>
        <w:rPr>
          <w:rFonts w:ascii="Times New Roman" w:eastAsia="Times New Roman" w:hAnsi="Times New Roman" w:cs="Times New Roman"/>
          <w:sz w:val="24"/>
          <w:szCs w:val="24"/>
          <w:highlight w:val="white"/>
        </w:rPr>
        <w:t>Deusdete</w:t>
      </w:r>
      <w:proofErr w:type="spellEnd"/>
      <w:r>
        <w:rPr>
          <w:rFonts w:ascii="Times New Roman" w:eastAsia="Times New Roman" w:hAnsi="Times New Roman" w:cs="Times New Roman"/>
          <w:sz w:val="24"/>
          <w:szCs w:val="24"/>
          <w:highlight w:val="white"/>
        </w:rPr>
        <w:t xml:space="preserve"> Junior; SOUZA, </w:t>
      </w:r>
      <w:proofErr w:type="spellStart"/>
      <w:r>
        <w:rPr>
          <w:rFonts w:ascii="Times New Roman" w:eastAsia="Times New Roman" w:hAnsi="Times New Roman" w:cs="Times New Roman"/>
          <w:sz w:val="24"/>
          <w:szCs w:val="24"/>
          <w:highlight w:val="white"/>
        </w:rPr>
        <w:t>Kellcia</w:t>
      </w:r>
      <w:proofErr w:type="spellEnd"/>
      <w:r>
        <w:rPr>
          <w:rFonts w:ascii="Times New Roman" w:eastAsia="Times New Roman" w:hAnsi="Times New Roman" w:cs="Times New Roman"/>
          <w:sz w:val="24"/>
          <w:szCs w:val="24"/>
          <w:highlight w:val="white"/>
        </w:rPr>
        <w:t xml:space="preserve"> Rezende. A governança nas instituições de ensino superior públicas brasileiras. </w:t>
      </w:r>
      <w:r>
        <w:rPr>
          <w:rFonts w:ascii="Times New Roman" w:eastAsia="Times New Roman" w:hAnsi="Times New Roman" w:cs="Times New Roman"/>
          <w:b/>
          <w:sz w:val="24"/>
          <w:szCs w:val="24"/>
          <w:highlight w:val="white"/>
        </w:rPr>
        <w:t>Revista Ibero-Americana de Estudos em Educação</w:t>
      </w:r>
      <w:r>
        <w:rPr>
          <w:rFonts w:ascii="Times New Roman" w:eastAsia="Times New Roman" w:hAnsi="Times New Roman" w:cs="Times New Roman"/>
          <w:sz w:val="24"/>
          <w:szCs w:val="24"/>
          <w:highlight w:val="white"/>
        </w:rPr>
        <w:t xml:space="preserve">, p. 1532-1557, 2022. </w:t>
      </w:r>
    </w:p>
    <w:p w14:paraId="342D0ABD" w14:textId="77777777" w:rsidR="003A2854" w:rsidRDefault="003A2854">
      <w:pPr>
        <w:spacing w:after="0" w:line="240" w:lineRule="auto"/>
        <w:rPr>
          <w:rFonts w:ascii="Times New Roman" w:eastAsia="Times New Roman" w:hAnsi="Times New Roman" w:cs="Times New Roman"/>
          <w:sz w:val="24"/>
          <w:szCs w:val="24"/>
          <w:highlight w:val="white"/>
        </w:rPr>
      </w:pPr>
    </w:p>
    <w:p w14:paraId="3F01B9F8" w14:textId="77777777" w:rsidR="003A285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THORSTENSEN, Vera Helena; NOGUEIRA, Thiago Rodrigues São Marcos. </w:t>
      </w:r>
      <w:r>
        <w:rPr>
          <w:rFonts w:ascii="Times New Roman" w:eastAsia="Times New Roman" w:hAnsi="Times New Roman" w:cs="Times New Roman"/>
          <w:b/>
          <w:sz w:val="24"/>
          <w:szCs w:val="24"/>
          <w:highlight w:val="white"/>
        </w:rPr>
        <w:t xml:space="preserve">Governança pública: </w:t>
      </w:r>
      <w:r>
        <w:rPr>
          <w:rFonts w:ascii="Times New Roman" w:eastAsia="Times New Roman" w:hAnsi="Times New Roman" w:cs="Times New Roman"/>
          <w:sz w:val="24"/>
          <w:szCs w:val="24"/>
          <w:highlight w:val="white"/>
        </w:rPr>
        <w:t>a evolução do tema na OCDE e as diretrizes para o Brasil. 2020. Disponível em: https://bibliotecadigital.fgv.br/dspace/handle/10438/29715. Acesso em: 04 abr. 2023.</w:t>
      </w:r>
    </w:p>
    <w:sectPr w:rsidR="003A2854">
      <w:headerReference w:type="even" r:id="rId10"/>
      <w:headerReference w:type="default" r:id="rId11"/>
      <w:footerReference w:type="even" r:id="rId12"/>
      <w:footerReference w:type="default" r:id="rId13"/>
      <w:headerReference w:type="first" r:id="rId14"/>
      <w:footerReference w:type="first" r:id="rId15"/>
      <w:pgSz w:w="11906" w:h="16838"/>
      <w:pgMar w:top="1418" w:right="3119" w:bottom="1134" w:left="1134" w:header="737" w:footer="624" w:gutter="0"/>
      <w:pgNumType w:start="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DC0B" w14:textId="77777777" w:rsidR="009541CA" w:rsidRDefault="009541CA">
      <w:pPr>
        <w:spacing w:after="0" w:line="240" w:lineRule="auto"/>
      </w:pPr>
      <w:r>
        <w:separator/>
      </w:r>
    </w:p>
  </w:endnote>
  <w:endnote w:type="continuationSeparator" w:id="0">
    <w:p w14:paraId="41514703" w14:textId="77777777" w:rsidR="009541CA" w:rsidRDefault="0095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3290" w14:textId="77777777" w:rsidR="003A2854" w:rsidRDefault="00000000">
    <w:pPr>
      <w:pBdr>
        <w:top w:val="nil"/>
        <w:left w:val="nil"/>
        <w:bottom w:val="nil"/>
        <w:right w:val="nil"/>
        <w:between w:val="nil"/>
      </w:pBdr>
      <w:spacing w:after="0" w:line="240" w:lineRule="auto"/>
      <w:jc w:val="both"/>
      <w:rPr>
        <w:rFonts w:ascii="Arial" w:eastAsia="Arial" w:hAnsi="Arial" w:cs="Arial"/>
        <w:color w:val="808080"/>
        <w:sz w:val="18"/>
        <w:szCs w:val="18"/>
      </w:rPr>
    </w:pPr>
    <w:r>
      <w:rPr>
        <w:noProof/>
      </w:rPr>
      <mc:AlternateContent>
        <mc:Choice Requires="wps">
          <w:drawing>
            <wp:anchor distT="0" distB="0" distL="114300" distR="114300" simplePos="0" relativeHeight="251662336" behindDoc="0" locked="0" layoutInCell="1" hidden="0" allowOverlap="1" wp14:anchorId="649BEBBA" wp14:editId="4CAF3C26">
              <wp:simplePos x="0" y="0"/>
              <wp:positionH relativeFrom="column">
                <wp:posOffset>-787399</wp:posOffset>
              </wp:positionH>
              <wp:positionV relativeFrom="paragraph">
                <wp:posOffset>10083800</wp:posOffset>
              </wp:positionV>
              <wp:extent cx="627380" cy="375285"/>
              <wp:effectExtent l="0" t="0" r="0" b="0"/>
              <wp:wrapNone/>
              <wp:docPr id="1" name="Retângulo 1"/>
              <wp:cNvGraphicFramePr/>
              <a:graphic xmlns:a="http://schemas.openxmlformats.org/drawingml/2006/main">
                <a:graphicData uri="http://schemas.microsoft.com/office/word/2010/wordprocessingShape">
                  <wps:wsp>
                    <wps:cNvSpPr/>
                    <wps:spPr>
                      <a:xfrm>
                        <a:off x="5037073" y="3597120"/>
                        <a:ext cx="617855" cy="365760"/>
                      </a:xfrm>
                      <a:prstGeom prst="rect">
                        <a:avLst/>
                      </a:prstGeom>
                      <a:solidFill>
                        <a:srgbClr val="FFFFFF"/>
                      </a:solidFill>
                      <a:ln>
                        <a:noFill/>
                      </a:ln>
                    </wps:spPr>
                    <wps:txbx>
                      <w:txbxContent>
                        <w:p w14:paraId="1FF3E896" w14:textId="77777777" w:rsidR="003A2854" w:rsidRDefault="00000000">
                          <w:pPr>
                            <w:spacing w:line="258" w:lineRule="auto"/>
                            <w:jc w:val="right"/>
                            <w:textDirection w:val="btLr"/>
                          </w:pPr>
                          <w:r>
                            <w:rPr>
                              <w:rFonts w:ascii="Arial" w:eastAsia="Arial" w:hAnsi="Arial" w:cs="Arial"/>
                              <w:color w:val="000000"/>
                            </w:rPr>
                            <w:t>PAGE   \* MERGEFORMAT34</w:t>
                          </w:r>
                        </w:p>
                        <w:p w14:paraId="6B2E7D02" w14:textId="77777777" w:rsidR="003A2854" w:rsidRDefault="003A285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9BEBBA" id="Retângulo 1" o:spid="_x0000_s1026" style="position:absolute;left:0;text-align:left;margin-left:-62pt;margin-top:794pt;width:49.4pt;height:29.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" stroked="f">
              <v:textbox inset="2.53958mm,1.2694mm,2.53958mm,1.2694mm">
                <w:txbxContent>
                  <w:p w14:paraId="1FF3E896" w14:textId="77777777" w:rsidR="003A2854" w:rsidRDefault="00000000">
                    <w:pPr>
                      <w:spacing w:line="258" w:lineRule="auto"/>
                      <w:jc w:val="right"/>
                      <w:textDirection w:val="btLr"/>
                    </w:pPr>
                    <w:r>
                      <w:rPr>
                        <w:rFonts w:ascii="Arial" w:eastAsia="Arial" w:hAnsi="Arial" w:cs="Arial"/>
                        <w:color w:val="000000"/>
                      </w:rPr>
                      <w:t>PAGE   \* MERGEFORMAT34</w:t>
                    </w:r>
                  </w:p>
                  <w:p w14:paraId="6B2E7D02" w14:textId="77777777" w:rsidR="003A2854" w:rsidRDefault="003A2854">
                    <w:pPr>
                      <w:spacing w:line="258" w:lineRule="auto"/>
                      <w:textDirection w:val="btLr"/>
                    </w:pPr>
                  </w:p>
                </w:txbxContent>
              </v:textbox>
            </v:rect>
          </w:pict>
        </mc:Fallback>
      </mc:AlternateContent>
    </w:r>
  </w:p>
  <w:p w14:paraId="3DE3A3D7" w14:textId="77777777" w:rsidR="003A2854" w:rsidRDefault="003A28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354E" w14:textId="77777777" w:rsidR="003A2854" w:rsidRDefault="00000000">
    <w:pPr>
      <w:tabs>
        <w:tab w:val="left" w:pos="6216"/>
        <w:tab w:val="right" w:pos="7653"/>
      </w:tabs>
      <w:rPr>
        <w:sz w:val="16"/>
        <w:szCs w:val="16"/>
        <w:highlight w:val="white"/>
      </w:rPr>
    </w:pPr>
    <w:r>
      <w:rPr>
        <w:sz w:val="16"/>
        <w:szCs w:val="16"/>
        <w:highlight w:val="white"/>
      </w:rPr>
      <w:tab/>
    </w:r>
    <w:r>
      <w:rPr>
        <w:noProof/>
      </w:rPr>
      <mc:AlternateContent>
        <mc:Choice Requires="wps">
          <w:drawing>
            <wp:anchor distT="0" distB="0" distL="114300" distR="114300" simplePos="0" relativeHeight="251661312" behindDoc="0" locked="0" layoutInCell="1" hidden="0" allowOverlap="1" wp14:anchorId="79A36820" wp14:editId="0CDE8A2A">
              <wp:simplePos x="0" y="0"/>
              <wp:positionH relativeFrom="column">
                <wp:posOffset>6299200</wp:posOffset>
              </wp:positionH>
              <wp:positionV relativeFrom="paragraph">
                <wp:posOffset>10109200</wp:posOffset>
              </wp:positionV>
              <wp:extent cx="585470" cy="339090"/>
              <wp:effectExtent l="0" t="0" r="0" b="0"/>
              <wp:wrapNone/>
              <wp:docPr id="3" name="Retângulo 3"/>
              <wp:cNvGraphicFramePr/>
              <a:graphic xmlns:a="http://schemas.openxmlformats.org/drawingml/2006/main">
                <a:graphicData uri="http://schemas.microsoft.com/office/word/2010/wordprocessingShape">
                  <wps:wsp>
                    <wps:cNvSpPr/>
                    <wps:spPr>
                      <a:xfrm>
                        <a:off x="5058028" y="3615218"/>
                        <a:ext cx="575945" cy="329565"/>
                      </a:xfrm>
                      <a:prstGeom prst="rect">
                        <a:avLst/>
                      </a:prstGeom>
                      <a:solidFill>
                        <a:srgbClr val="FFFFFF"/>
                      </a:solidFill>
                      <a:ln>
                        <a:noFill/>
                      </a:ln>
                    </wps:spPr>
                    <wps:txbx>
                      <w:txbxContent>
                        <w:p w14:paraId="0AA5C982" w14:textId="77777777" w:rsidR="003A2854" w:rsidRDefault="00000000">
                          <w:pPr>
                            <w:spacing w:line="258" w:lineRule="auto"/>
                            <w:textDirection w:val="btLr"/>
                          </w:pPr>
                          <w:r>
                            <w:rPr>
                              <w:rFonts w:ascii="Arial" w:eastAsia="Arial" w:hAnsi="Arial" w:cs="Arial"/>
                              <w:color w:val="000000"/>
                            </w:rPr>
                            <w:t>PAGE   \* MERGEFORMAT19</w:t>
                          </w:r>
                        </w:p>
                        <w:p w14:paraId="15303F18" w14:textId="77777777" w:rsidR="003A2854" w:rsidRDefault="003A285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9A36820" id="Retângulo 3" o:spid="_x0000_s1027" style="position:absolute;margin-left:496pt;margin-top:796pt;width:46.1pt;height:2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" stroked="f">
              <v:textbox inset="2.53958mm,1.2694mm,2.53958mm,1.2694mm">
                <w:txbxContent>
                  <w:p w14:paraId="0AA5C982" w14:textId="77777777" w:rsidR="003A2854" w:rsidRDefault="00000000">
                    <w:pPr>
                      <w:spacing w:line="258" w:lineRule="auto"/>
                      <w:textDirection w:val="btLr"/>
                    </w:pPr>
                    <w:r>
                      <w:rPr>
                        <w:rFonts w:ascii="Arial" w:eastAsia="Arial" w:hAnsi="Arial" w:cs="Arial"/>
                        <w:color w:val="000000"/>
                      </w:rPr>
                      <w:t>PAGE   \* MERGEFORMAT19</w:t>
                    </w:r>
                  </w:p>
                  <w:p w14:paraId="15303F18" w14:textId="77777777" w:rsidR="003A2854" w:rsidRDefault="003A2854">
                    <w:pPr>
                      <w:spacing w:line="258" w:lineRule="auto"/>
                      <w:textDirection w:val="btLr"/>
                    </w:pPr>
                  </w:p>
                </w:txbxContent>
              </v:textbox>
            </v:rect>
          </w:pict>
        </mc:Fallback>
      </mc:AlternateContent>
    </w:r>
  </w:p>
  <w:p w14:paraId="0769F5E3" w14:textId="77777777" w:rsidR="003A2854" w:rsidRDefault="003A2854">
    <w:pPr>
      <w:pBdr>
        <w:top w:val="nil"/>
        <w:left w:val="nil"/>
        <w:bottom w:val="nil"/>
        <w:right w:val="nil"/>
        <w:between w:val="nil"/>
      </w:pBdr>
      <w:spacing w:after="0" w:line="240" w:lineRule="auto"/>
      <w:jc w:val="both"/>
      <w:rPr>
        <w:rFonts w:ascii="Arial" w:eastAsia="Arial" w:hAnsi="Arial" w:cs="Arial"/>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8A97" w14:textId="20465544" w:rsidR="003A2854" w:rsidRDefault="003A2854">
    <w:pPr>
      <w:pBdr>
        <w:top w:val="nil"/>
        <w:left w:val="nil"/>
        <w:bottom w:val="nil"/>
        <w:right w:val="nil"/>
        <w:between w:val="nil"/>
      </w:pBdr>
      <w:spacing w:before="120" w:after="0"/>
      <w:jc w:val="both"/>
      <w:rPr>
        <w:color w:val="007AB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9434E" w14:textId="77777777" w:rsidR="009541CA" w:rsidRDefault="009541CA">
      <w:pPr>
        <w:spacing w:after="0" w:line="240" w:lineRule="auto"/>
      </w:pPr>
      <w:r>
        <w:separator/>
      </w:r>
    </w:p>
  </w:footnote>
  <w:footnote w:type="continuationSeparator" w:id="0">
    <w:p w14:paraId="54AF5434" w14:textId="77777777" w:rsidR="009541CA" w:rsidRDefault="0095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282D" w14:textId="77777777" w:rsidR="00491BF2" w:rsidRPr="00491BF2" w:rsidRDefault="00491BF2" w:rsidP="00491BF2">
    <w:pPr>
      <w:spacing w:line="240" w:lineRule="auto"/>
      <w:jc w:val="center"/>
      <w:rPr>
        <w:rFonts w:ascii="Times New Roman" w:eastAsia="Times New Roman" w:hAnsi="Times New Roman" w:cs="Times New Roman"/>
        <w:sz w:val="24"/>
        <w:szCs w:val="24"/>
      </w:rPr>
    </w:pPr>
    <w:r w:rsidRPr="00491BF2">
      <w:rPr>
        <w:rFonts w:ascii="Times New Roman" w:eastAsia="Times New Roman" w:hAnsi="Times New Roman" w:cs="Times New Roman"/>
        <w:b/>
        <w:bCs/>
        <w:color w:val="000000"/>
      </w:rPr>
      <w:t>V.12, n.5, julho/2025</w:t>
    </w:r>
    <w:r w:rsidRPr="00491BF2">
      <w:rPr>
        <w:rFonts w:ascii="Cambria" w:eastAsia="Times New Roman" w:hAnsi="Cambria" w:cs="Times New Roman"/>
        <w:b/>
        <w:bCs/>
        <w:color w:val="000000"/>
        <w:sz w:val="20"/>
        <w:szCs w:val="20"/>
        <w:shd w:val="clear" w:color="auto" w:fill="FFFFFF"/>
      </w:rPr>
      <w:t>. ISSN n° 2359-3652</w:t>
    </w:r>
  </w:p>
  <w:p w14:paraId="2FE2FB8C" w14:textId="77777777" w:rsidR="00491BF2" w:rsidRPr="00491BF2" w:rsidRDefault="00491BF2" w:rsidP="00491BF2">
    <w:pPr>
      <w:spacing w:after="0" w:line="240" w:lineRule="auto"/>
      <w:rPr>
        <w:rFonts w:ascii="Times New Roman" w:eastAsia="Times New Roman" w:hAnsi="Times New Roman" w:cs="Times New Roman"/>
        <w:sz w:val="24"/>
        <w:szCs w:val="24"/>
      </w:rPr>
    </w:pPr>
  </w:p>
  <w:p w14:paraId="512D1826" w14:textId="5BE977E1" w:rsidR="003A2854" w:rsidRDefault="00000000">
    <w:pPr>
      <w:pBdr>
        <w:top w:val="nil"/>
        <w:left w:val="nil"/>
        <w:bottom w:val="nil"/>
        <w:right w:val="nil"/>
        <w:between w:val="nil"/>
      </w:pBdr>
      <w:spacing w:after="0" w:line="240" w:lineRule="auto"/>
      <w:ind w:right="2317"/>
      <w:rPr>
        <w:color w:val="808080"/>
        <w:sz w:val="18"/>
        <w:szCs w:val="18"/>
      </w:rPr>
    </w:pPr>
    <w:r>
      <w:rPr>
        <w:noProof/>
      </w:rPr>
      <w:drawing>
        <wp:anchor distT="0" distB="0" distL="114300" distR="114300" simplePos="0" relativeHeight="251660288" behindDoc="0" locked="0" layoutInCell="1" hidden="0" allowOverlap="1" wp14:anchorId="2EDA6E6F" wp14:editId="0CCB6847">
          <wp:simplePos x="0" y="0"/>
          <wp:positionH relativeFrom="column">
            <wp:posOffset>-1502409</wp:posOffset>
          </wp:positionH>
          <wp:positionV relativeFrom="paragraph">
            <wp:posOffset>-404494</wp:posOffset>
          </wp:positionV>
          <wp:extent cx="415290" cy="1765935"/>
          <wp:effectExtent l="0" t="0" r="0" b="0"/>
          <wp:wrapSquare wrapText="bothSides" distT="0" distB="0" distL="114300" distR="11430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415290" cy="1765935"/>
                  </a:xfrm>
                  <a:prstGeom prst="rect">
                    <a:avLst/>
                  </a:prstGeom>
                  <a:ln/>
                </pic:spPr>
              </pic:pic>
            </a:graphicData>
          </a:graphic>
        </wp:anchor>
      </w:drawing>
    </w:r>
  </w:p>
  <w:p w14:paraId="4A0447EA" w14:textId="77777777" w:rsidR="003A2854" w:rsidRDefault="003A2854">
    <w:pPr>
      <w:pBdr>
        <w:top w:val="nil"/>
        <w:left w:val="nil"/>
        <w:bottom w:val="nil"/>
        <w:right w:val="nil"/>
        <w:between w:val="nil"/>
      </w:pBdr>
      <w:spacing w:after="0" w:line="240" w:lineRule="auto"/>
      <w:ind w:right="2317"/>
      <w:rPr>
        <w:color w:val="808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A66E" w14:textId="4CE1551C" w:rsidR="003A2854" w:rsidRPr="00491BF2" w:rsidRDefault="0099275A" w:rsidP="00491BF2">
    <w:pPr>
      <w:spacing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726C17FF" wp14:editId="6A9387FE">
          <wp:simplePos x="0" y="0"/>
          <wp:positionH relativeFrom="column">
            <wp:posOffset>6133465</wp:posOffset>
          </wp:positionH>
          <wp:positionV relativeFrom="paragraph">
            <wp:posOffset>-131022</wp:posOffset>
          </wp:positionV>
          <wp:extent cx="415290" cy="1765935"/>
          <wp:effectExtent l="0" t="0" r="0" b="0"/>
          <wp:wrapSquare wrapText="bothSides" distT="0" distB="0" distL="114300" distR="11430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415290" cy="1765935"/>
                  </a:xfrm>
                  <a:prstGeom prst="rect">
                    <a:avLst/>
                  </a:prstGeom>
                  <a:ln/>
                </pic:spPr>
              </pic:pic>
            </a:graphicData>
          </a:graphic>
        </wp:anchor>
      </w:drawing>
    </w:r>
    <w:r w:rsidR="00491BF2" w:rsidRPr="00491BF2">
      <w:rPr>
        <w:rFonts w:ascii="Times New Roman" w:eastAsia="Times New Roman" w:hAnsi="Times New Roman" w:cs="Times New Roman"/>
        <w:b/>
        <w:bCs/>
        <w:color w:val="000000"/>
      </w:rPr>
      <w:t>V.12, n.5, julho/2025</w:t>
    </w:r>
    <w:r w:rsidR="00491BF2" w:rsidRPr="00491BF2">
      <w:rPr>
        <w:rFonts w:ascii="Cambria" w:eastAsia="Times New Roman" w:hAnsi="Cambria" w:cs="Times New Roman"/>
        <w:b/>
        <w:bCs/>
        <w:color w:val="000000"/>
        <w:sz w:val="20"/>
        <w:szCs w:val="20"/>
        <w:shd w:val="clear" w:color="auto" w:fill="FFFFFF"/>
      </w:rPr>
      <w:t>. ISSN n° 2359-3652</w:t>
    </w:r>
  </w:p>
  <w:p w14:paraId="658B7C3C" w14:textId="77777777" w:rsidR="003A2854" w:rsidRDefault="003A2854">
    <w:pPr>
      <w:pBdr>
        <w:top w:val="nil"/>
        <w:left w:val="nil"/>
        <w:bottom w:val="nil"/>
        <w:right w:val="nil"/>
        <w:between w:val="nil"/>
      </w:pBdr>
      <w:spacing w:after="0" w:line="240" w:lineRule="auto"/>
      <w:ind w:left="2552" w:right="49"/>
      <w:jc w:val="both"/>
      <w:rPr>
        <w:color w:val="80808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F1C1" w14:textId="77777777" w:rsidR="003A2854" w:rsidRDefault="00000000">
    <w:pPr>
      <w:pBdr>
        <w:top w:val="nil"/>
        <w:left w:val="nil"/>
        <w:bottom w:val="none" w:sz="0" w:space="0" w:color="000000"/>
        <w:right w:val="nil"/>
        <w:between w:val="nil"/>
      </w:pBdr>
      <w:spacing w:after="0"/>
      <w:rPr>
        <w:color w:val="0563C1"/>
        <w:sz w:val="18"/>
        <w:szCs w:val="18"/>
        <w:u w:val="single"/>
      </w:rPr>
    </w:pPr>
    <w:r>
      <w:rPr>
        <w:rFonts w:ascii="Arial" w:eastAsia="Arial" w:hAnsi="Arial" w:cs="Arial"/>
        <w:noProof/>
        <w:color w:val="808080"/>
        <w:sz w:val="18"/>
        <w:szCs w:val="18"/>
      </w:rPr>
      <w:drawing>
        <wp:inline distT="0" distB="0" distL="114300" distR="114300" wp14:anchorId="50672E5F" wp14:editId="216AC66F">
          <wp:extent cx="4428490" cy="1040765"/>
          <wp:effectExtent l="0" t="0" r="0" b="0"/>
          <wp:docPr id="7" name="image8.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8.png" descr="Logotipo&#10;&#10;Descrição gerada automaticamente"/>
                  <pic:cNvPicPr preferRelativeResize="0"/>
                </pic:nvPicPr>
                <pic:blipFill>
                  <a:blip r:embed="rId1"/>
                  <a:srcRect/>
                  <a:stretch>
                    <a:fillRect/>
                  </a:stretch>
                </pic:blipFill>
                <pic:spPr>
                  <a:xfrm>
                    <a:off x="0" y="0"/>
                    <a:ext cx="4428490" cy="1040765"/>
                  </a:xfrm>
                  <a:prstGeom prst="rect">
                    <a:avLst/>
                  </a:prstGeom>
                  <a:ln/>
                </pic:spPr>
              </pic:pic>
            </a:graphicData>
          </a:graphic>
        </wp:inline>
      </w:drawing>
    </w:r>
  </w:p>
  <w:p w14:paraId="7A4158F1" w14:textId="77777777" w:rsidR="003A2854" w:rsidRDefault="00000000">
    <w:pPr>
      <w:pBdr>
        <w:top w:val="nil"/>
        <w:left w:val="nil"/>
        <w:bottom w:val="none" w:sz="0" w:space="0" w:color="000000"/>
        <w:right w:val="nil"/>
        <w:between w:val="nil"/>
      </w:pBdr>
      <w:spacing w:after="0"/>
      <w:rPr>
        <w:color w:val="0563C1"/>
        <w:sz w:val="18"/>
        <w:szCs w:val="18"/>
        <w:u w:val="single"/>
      </w:rPr>
    </w:pPr>
    <w:r>
      <w:rPr>
        <w:noProof/>
      </w:rPr>
      <mc:AlternateContent>
        <mc:Choice Requires="wps">
          <w:drawing>
            <wp:anchor distT="0" distB="0" distL="114300" distR="114300" simplePos="0" relativeHeight="251659264" behindDoc="0" locked="0" layoutInCell="1" hidden="0" allowOverlap="1" wp14:anchorId="184B5496" wp14:editId="1CF8C42E">
              <wp:simplePos x="0" y="0"/>
              <wp:positionH relativeFrom="column">
                <wp:posOffset>-88899</wp:posOffset>
              </wp:positionH>
              <wp:positionV relativeFrom="paragraph">
                <wp:posOffset>25400</wp:posOffset>
              </wp:positionV>
              <wp:extent cx="4625975" cy="326390"/>
              <wp:effectExtent l="0" t="0" r="0" b="0"/>
              <wp:wrapNone/>
              <wp:docPr id="2" name="Retângulo 2"/>
              <wp:cNvGraphicFramePr/>
              <a:graphic xmlns:a="http://schemas.openxmlformats.org/drawingml/2006/main">
                <a:graphicData uri="http://schemas.microsoft.com/office/word/2010/wordprocessingShape">
                  <wps:wsp>
                    <wps:cNvSpPr/>
                    <wps:spPr>
                      <a:xfrm>
                        <a:off x="3037775" y="3621568"/>
                        <a:ext cx="4616450" cy="316865"/>
                      </a:xfrm>
                      <a:prstGeom prst="rect">
                        <a:avLst/>
                      </a:prstGeom>
                      <a:solidFill>
                        <a:srgbClr val="FFFFFF"/>
                      </a:solidFill>
                      <a:ln>
                        <a:noFill/>
                      </a:ln>
                    </wps:spPr>
                    <wps:txbx>
                      <w:txbxContent>
                        <w:p w14:paraId="77C87A74" w14:textId="77777777" w:rsidR="00491BF2" w:rsidRPr="00491BF2" w:rsidRDefault="00491BF2" w:rsidP="00491BF2">
                          <w:pPr>
                            <w:spacing w:after="0" w:line="240" w:lineRule="auto"/>
                            <w:rPr>
                              <w:rFonts w:ascii="Times New Roman" w:eastAsia="Times New Roman" w:hAnsi="Times New Roman" w:cs="Times New Roman"/>
                              <w:sz w:val="24"/>
                              <w:szCs w:val="24"/>
                            </w:rPr>
                          </w:pPr>
                          <w:r w:rsidRPr="00491BF2">
                            <w:rPr>
                              <w:rFonts w:ascii="Times New Roman" w:eastAsia="Times New Roman" w:hAnsi="Times New Roman" w:cs="Times New Roman"/>
                              <w:b/>
                              <w:bCs/>
                              <w:color w:val="000000"/>
                            </w:rPr>
                            <w:t>V.12, n.5, julho/2025 - DOI: 10.20873/2025_jul_18580</w:t>
                          </w:r>
                        </w:p>
                        <w:p w14:paraId="610EA821" w14:textId="77777777" w:rsidR="00491BF2" w:rsidRPr="00491BF2" w:rsidRDefault="00491BF2" w:rsidP="00491BF2">
                          <w:pPr>
                            <w:spacing w:after="0" w:line="240" w:lineRule="auto"/>
                            <w:rPr>
                              <w:rFonts w:ascii="Times New Roman" w:eastAsia="Times New Roman" w:hAnsi="Times New Roman" w:cs="Times New Roman"/>
                              <w:sz w:val="24"/>
                              <w:szCs w:val="24"/>
                            </w:rPr>
                          </w:pPr>
                        </w:p>
                        <w:p w14:paraId="7D5AE405" w14:textId="77777777" w:rsidR="003A2854" w:rsidRDefault="003A2854">
                          <w:pPr>
                            <w:spacing w:line="258" w:lineRule="auto"/>
                            <w:textDirection w:val="btLr"/>
                          </w:pPr>
                        </w:p>
                        <w:p w14:paraId="22EA96B8" w14:textId="77777777" w:rsidR="003A2854" w:rsidRDefault="00000000">
                          <w:pPr>
                            <w:spacing w:line="258" w:lineRule="auto"/>
                            <w:textDirection w:val="btLr"/>
                          </w:pPr>
                          <w:r>
                            <w:rPr>
                              <w:rFonts w:ascii="Arial" w:eastAsia="Arial" w:hAnsi="Arial" w:cs="Arial"/>
                              <w:b/>
                              <w:i/>
                              <w:color w:val="000000"/>
                              <w:sz w:val="20"/>
                            </w:rPr>
                            <w:t>"</w:t>
                          </w:r>
                          <w:r>
                            <w:rPr>
                              <w:rFonts w:ascii="Arial" w:eastAsia="Arial" w:hAnsi="Arial" w:cs="Arial"/>
                              <w:b/>
                              <w:i/>
                              <w:color w:val="0563C1"/>
                              <w:sz w:val="20"/>
                              <w:u w:val="single"/>
                            </w:rPr>
                            <w:t>http://dx.doi.org/</w:t>
                          </w:r>
                          <w:r>
                            <w:rPr>
                              <w:rFonts w:ascii="Arial" w:eastAsia="Arial" w:hAnsi="Arial" w:cs="Arial"/>
                              <w:b/>
                              <w:color w:val="0563C1"/>
                              <w:sz w:val="20"/>
                              <w:u w:val="single"/>
                            </w:rPr>
                            <w:t>10.20873/XXXXXXX</w:t>
                          </w:r>
                          <w:r>
                            <w:rPr>
                              <w:rFonts w:ascii="Arial" w:eastAsia="Arial" w:hAnsi="Arial" w:cs="Arial"/>
                              <w:b/>
                              <w:color w:val="0563C1"/>
                              <w:sz w:val="20"/>
                              <w:u w:val="single"/>
                            </w:rPr>
                            <w:tab/>
                          </w:r>
                          <w:r>
                            <w:rPr>
                              <w:rFonts w:ascii="Arial" w:eastAsia="Arial" w:hAnsi="Arial" w:cs="Arial"/>
                              <w:b/>
                              <w:color w:val="0563C1"/>
                              <w:sz w:val="20"/>
                              <w:u w:val="single"/>
                            </w:rPr>
                            <w:tab/>
                          </w:r>
                          <w:r>
                            <w:rPr>
                              <w:rFonts w:ascii="Arial" w:eastAsia="Arial" w:hAnsi="Arial" w:cs="Arial"/>
                              <w:b/>
                              <w:color w:val="0563C1"/>
                              <w:sz w:val="20"/>
                              <w:u w:val="single"/>
                            </w:rPr>
                            <w:tab/>
                          </w:r>
                          <w:r>
                            <w:rPr>
                              <w:rFonts w:ascii="Arial" w:eastAsia="Arial" w:hAnsi="Arial" w:cs="Arial"/>
                              <w:b/>
                              <w:i/>
                              <w:color w:val="0563C1"/>
                              <w:sz w:val="20"/>
                              <w:u w:val="single"/>
                            </w:rPr>
                            <w:t xml:space="preserve">Revista Desafios – v. </w:t>
                          </w:r>
                          <w:proofErr w:type="gramStart"/>
                          <w:r>
                            <w:rPr>
                              <w:rFonts w:ascii="Arial" w:eastAsia="Arial" w:hAnsi="Arial" w:cs="Arial"/>
                              <w:b/>
                              <w:i/>
                              <w:color w:val="0563C1"/>
                              <w:sz w:val="20"/>
                              <w:u w:val="single"/>
                            </w:rPr>
                            <w:t>02,n.</w:t>
                          </w:r>
                          <w:proofErr w:type="gramEnd"/>
                          <w:r>
                            <w:rPr>
                              <w:rFonts w:ascii="Arial" w:eastAsia="Arial" w:hAnsi="Arial" w:cs="Arial"/>
                              <w:b/>
                              <w:i/>
                              <w:color w:val="0563C1"/>
                              <w:sz w:val="20"/>
                              <w:u w:val="single"/>
                            </w:rPr>
                            <w:t xml:space="preserve"> 1, 2023</w:t>
                          </w:r>
                        </w:p>
                        <w:p w14:paraId="1CA4D0E9" w14:textId="77777777" w:rsidR="003A2854" w:rsidRDefault="003A2854">
                          <w:pPr>
                            <w:spacing w:line="258" w:lineRule="auto"/>
                            <w:textDirection w:val="btLr"/>
                          </w:pPr>
                        </w:p>
                        <w:p w14:paraId="79EF39BB" w14:textId="77777777" w:rsidR="003A2854" w:rsidRDefault="003A2854">
                          <w:pPr>
                            <w:spacing w:line="258" w:lineRule="auto"/>
                            <w:textDirection w:val="btLr"/>
                          </w:pPr>
                        </w:p>
                        <w:p w14:paraId="6986B8E3" w14:textId="77777777" w:rsidR="003A2854" w:rsidRDefault="003A285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4B5496" id="Retângulo 2" o:spid="_x0000_s1028" style="position:absolute;margin-left:-7pt;margin-top:2pt;width:364.25pt;height:2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" stroked="f">
              <v:textbox inset="2.53958mm,1.2694mm,2.53958mm,1.2694mm">
                <w:txbxContent>
                  <w:p w14:paraId="77C87A74" w14:textId="77777777" w:rsidR="00491BF2" w:rsidRPr="00491BF2" w:rsidRDefault="00491BF2" w:rsidP="00491BF2">
                    <w:pPr>
                      <w:spacing w:after="0" w:line="240" w:lineRule="auto"/>
                      <w:rPr>
                        <w:rFonts w:ascii="Times New Roman" w:eastAsia="Times New Roman" w:hAnsi="Times New Roman" w:cs="Times New Roman"/>
                        <w:sz w:val="24"/>
                        <w:szCs w:val="24"/>
                      </w:rPr>
                    </w:pPr>
                    <w:r w:rsidRPr="00491BF2">
                      <w:rPr>
                        <w:rFonts w:ascii="Times New Roman" w:eastAsia="Times New Roman" w:hAnsi="Times New Roman" w:cs="Times New Roman"/>
                        <w:b/>
                        <w:bCs/>
                        <w:color w:val="000000"/>
                      </w:rPr>
                      <w:t>V.12, n.5, julho/2025 - DOI: 10.20873/2025_jul_18580</w:t>
                    </w:r>
                  </w:p>
                  <w:p w14:paraId="610EA821" w14:textId="77777777" w:rsidR="00491BF2" w:rsidRPr="00491BF2" w:rsidRDefault="00491BF2" w:rsidP="00491BF2">
                    <w:pPr>
                      <w:spacing w:after="0" w:line="240" w:lineRule="auto"/>
                      <w:rPr>
                        <w:rFonts w:ascii="Times New Roman" w:eastAsia="Times New Roman" w:hAnsi="Times New Roman" w:cs="Times New Roman"/>
                        <w:sz w:val="24"/>
                        <w:szCs w:val="24"/>
                      </w:rPr>
                    </w:pPr>
                  </w:p>
                  <w:p w14:paraId="7D5AE405" w14:textId="77777777" w:rsidR="003A2854" w:rsidRDefault="003A2854">
                    <w:pPr>
                      <w:spacing w:line="258" w:lineRule="auto"/>
                      <w:textDirection w:val="btLr"/>
                    </w:pPr>
                  </w:p>
                  <w:p w14:paraId="22EA96B8" w14:textId="77777777" w:rsidR="003A2854" w:rsidRDefault="00000000">
                    <w:pPr>
                      <w:spacing w:line="258" w:lineRule="auto"/>
                      <w:textDirection w:val="btLr"/>
                    </w:pPr>
                    <w:r>
                      <w:rPr>
                        <w:rFonts w:ascii="Arial" w:eastAsia="Arial" w:hAnsi="Arial" w:cs="Arial"/>
                        <w:b/>
                        <w:i/>
                        <w:color w:val="000000"/>
                        <w:sz w:val="20"/>
                      </w:rPr>
                      <w:t>"</w:t>
                    </w:r>
                    <w:r>
                      <w:rPr>
                        <w:rFonts w:ascii="Arial" w:eastAsia="Arial" w:hAnsi="Arial" w:cs="Arial"/>
                        <w:b/>
                        <w:i/>
                        <w:color w:val="0563C1"/>
                        <w:sz w:val="20"/>
                        <w:u w:val="single"/>
                      </w:rPr>
                      <w:t>http://dx.doi.org/</w:t>
                    </w:r>
                    <w:r>
                      <w:rPr>
                        <w:rFonts w:ascii="Arial" w:eastAsia="Arial" w:hAnsi="Arial" w:cs="Arial"/>
                        <w:b/>
                        <w:color w:val="0563C1"/>
                        <w:sz w:val="20"/>
                        <w:u w:val="single"/>
                      </w:rPr>
                      <w:t>10.20873/XXXXXXX</w:t>
                    </w:r>
                    <w:r>
                      <w:rPr>
                        <w:rFonts w:ascii="Arial" w:eastAsia="Arial" w:hAnsi="Arial" w:cs="Arial"/>
                        <w:b/>
                        <w:color w:val="0563C1"/>
                        <w:sz w:val="20"/>
                        <w:u w:val="single"/>
                      </w:rPr>
                      <w:tab/>
                    </w:r>
                    <w:r>
                      <w:rPr>
                        <w:rFonts w:ascii="Arial" w:eastAsia="Arial" w:hAnsi="Arial" w:cs="Arial"/>
                        <w:b/>
                        <w:color w:val="0563C1"/>
                        <w:sz w:val="20"/>
                        <w:u w:val="single"/>
                      </w:rPr>
                      <w:tab/>
                    </w:r>
                    <w:r>
                      <w:rPr>
                        <w:rFonts w:ascii="Arial" w:eastAsia="Arial" w:hAnsi="Arial" w:cs="Arial"/>
                        <w:b/>
                        <w:color w:val="0563C1"/>
                        <w:sz w:val="20"/>
                        <w:u w:val="single"/>
                      </w:rPr>
                      <w:tab/>
                    </w:r>
                    <w:r>
                      <w:rPr>
                        <w:rFonts w:ascii="Arial" w:eastAsia="Arial" w:hAnsi="Arial" w:cs="Arial"/>
                        <w:b/>
                        <w:i/>
                        <w:color w:val="0563C1"/>
                        <w:sz w:val="20"/>
                        <w:u w:val="single"/>
                      </w:rPr>
                      <w:t xml:space="preserve">Revista Desafios – v. </w:t>
                    </w:r>
                    <w:proofErr w:type="gramStart"/>
                    <w:r>
                      <w:rPr>
                        <w:rFonts w:ascii="Arial" w:eastAsia="Arial" w:hAnsi="Arial" w:cs="Arial"/>
                        <w:b/>
                        <w:i/>
                        <w:color w:val="0563C1"/>
                        <w:sz w:val="20"/>
                        <w:u w:val="single"/>
                      </w:rPr>
                      <w:t>02,n.</w:t>
                    </w:r>
                    <w:proofErr w:type="gramEnd"/>
                    <w:r>
                      <w:rPr>
                        <w:rFonts w:ascii="Arial" w:eastAsia="Arial" w:hAnsi="Arial" w:cs="Arial"/>
                        <w:b/>
                        <w:i/>
                        <w:color w:val="0563C1"/>
                        <w:sz w:val="20"/>
                        <w:u w:val="single"/>
                      </w:rPr>
                      <w:t xml:space="preserve"> 1, 2023</w:t>
                    </w:r>
                  </w:p>
                  <w:p w14:paraId="1CA4D0E9" w14:textId="77777777" w:rsidR="003A2854" w:rsidRDefault="003A2854">
                    <w:pPr>
                      <w:spacing w:line="258" w:lineRule="auto"/>
                      <w:textDirection w:val="btLr"/>
                    </w:pPr>
                  </w:p>
                  <w:p w14:paraId="79EF39BB" w14:textId="77777777" w:rsidR="003A2854" w:rsidRDefault="003A2854">
                    <w:pPr>
                      <w:spacing w:line="258" w:lineRule="auto"/>
                      <w:textDirection w:val="btLr"/>
                    </w:pPr>
                  </w:p>
                  <w:p w14:paraId="6986B8E3" w14:textId="77777777" w:rsidR="003A2854" w:rsidRDefault="003A2854">
                    <w:pPr>
                      <w:spacing w:line="258" w:lineRule="auto"/>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54"/>
    <w:rsid w:val="003A2854"/>
    <w:rsid w:val="00491BF2"/>
    <w:rsid w:val="00553946"/>
    <w:rsid w:val="009541CA"/>
    <w:rsid w:val="00962791"/>
    <w:rsid w:val="0099275A"/>
    <w:rsid w:val="00B647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B5AB9"/>
  <w15:docId w15:val="{33D162EE-E6BA-594E-903E-1E749A85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491B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26495">
      <w:bodyDiv w:val="1"/>
      <w:marLeft w:val="0"/>
      <w:marRight w:val="0"/>
      <w:marTop w:val="0"/>
      <w:marBottom w:val="0"/>
      <w:divBdr>
        <w:top w:val="none" w:sz="0" w:space="0" w:color="auto"/>
        <w:left w:val="none" w:sz="0" w:space="0" w:color="auto"/>
        <w:bottom w:val="none" w:sz="0" w:space="0" w:color="auto"/>
        <w:right w:val="none" w:sz="0" w:space="0" w:color="auto"/>
      </w:divBdr>
    </w:div>
    <w:div w:id="1422679798">
      <w:bodyDiv w:val="1"/>
      <w:marLeft w:val="0"/>
      <w:marRight w:val="0"/>
      <w:marTop w:val="0"/>
      <w:marBottom w:val="0"/>
      <w:divBdr>
        <w:top w:val="none" w:sz="0" w:space="0" w:color="auto"/>
        <w:left w:val="none" w:sz="0" w:space="0" w:color="auto"/>
        <w:bottom w:val="none" w:sz="0" w:space="0" w:color="auto"/>
        <w:right w:val="none" w:sz="0" w:space="0" w:color="auto"/>
      </w:divBdr>
    </w:div>
    <w:div w:id="1950038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rcid.org/0000-0002-3173-2998"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5740</Words>
  <Characters>31001</Characters>
  <Application>Microsoft Office Word</Application>
  <DocSecurity>0</DocSecurity>
  <Lines>258</Lines>
  <Paragraphs>73</Paragraphs>
  <ScaleCrop>false</ScaleCrop>
  <Company/>
  <LinksUpToDate>false</LinksUpToDate>
  <CharactersWithSpaces>36668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Thiago Pereira</cp:lastModifiedBy>
  <cp:revision>4</cp:revision>
  <dcterms:created xsi:type="dcterms:W3CDTF">2025-07-30T22:35:00Z</dcterms:created>
  <dcterms:modified xsi:type="dcterms:W3CDTF">2025-07-30T22:37:00Z</dcterms:modified>
</cp:coreProperties>
</file>